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4144" w14:textId="77777777" w:rsidR="003F28B8" w:rsidRDefault="003F28B8" w:rsidP="003F28B8">
      <w:pPr>
        <w:spacing w:after="0"/>
        <w:jc w:val="both"/>
        <w:rPr>
          <w:b/>
          <w:i/>
          <w:color w:val="00B050"/>
          <w:sz w:val="28"/>
          <w:szCs w:val="28"/>
        </w:rPr>
      </w:pPr>
      <w:r>
        <w:rPr>
          <w:b/>
          <w:i/>
          <w:noProof/>
          <w:color w:val="00B05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542EC0F" wp14:editId="1366AFD4">
            <wp:simplePos x="0" y="0"/>
            <wp:positionH relativeFrom="column">
              <wp:posOffset>-190500</wp:posOffset>
            </wp:positionH>
            <wp:positionV relativeFrom="paragraph">
              <wp:posOffset>-28575</wp:posOffset>
            </wp:positionV>
            <wp:extent cx="760730" cy="476250"/>
            <wp:effectExtent l="19050" t="0" r="1270" b="0"/>
            <wp:wrapNone/>
            <wp:docPr id="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00B05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5740A37" wp14:editId="2FB8D4A5">
            <wp:simplePos x="0" y="0"/>
            <wp:positionH relativeFrom="column">
              <wp:posOffset>3476625</wp:posOffset>
            </wp:positionH>
            <wp:positionV relativeFrom="paragraph">
              <wp:posOffset>-47625</wp:posOffset>
            </wp:positionV>
            <wp:extent cx="619125" cy="457200"/>
            <wp:effectExtent l="19050" t="0" r="9525" b="0"/>
            <wp:wrapNone/>
            <wp:docPr id="2" name="Picture 18" descr="unep (RG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8" descr="unep (RGB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00B05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C290A9" wp14:editId="2334919E">
            <wp:simplePos x="0" y="0"/>
            <wp:positionH relativeFrom="margin">
              <wp:align>right</wp:align>
            </wp:positionH>
            <wp:positionV relativeFrom="paragraph">
              <wp:posOffset>-38100</wp:posOffset>
            </wp:positionV>
            <wp:extent cx="689610" cy="470535"/>
            <wp:effectExtent l="19050" t="19050" r="15240" b="24765"/>
            <wp:wrapNone/>
            <wp:docPr id="1" name="Picture 25" descr="mso8B4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5" descr="mso8B48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4000" contrast="-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4705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00B05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2C3154B" wp14:editId="0114AF3F">
            <wp:simplePos x="0" y="0"/>
            <wp:positionH relativeFrom="column">
              <wp:posOffset>1514475</wp:posOffset>
            </wp:positionH>
            <wp:positionV relativeFrom="paragraph">
              <wp:posOffset>-57150</wp:posOffset>
            </wp:positionV>
            <wp:extent cx="742950" cy="504825"/>
            <wp:effectExtent l="19050" t="0" r="0" b="0"/>
            <wp:wrapNone/>
            <wp:docPr id="6" name="Picture 19" descr="GEF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9" descr="GEF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ED9689" w14:textId="77777777" w:rsidR="003F28B8" w:rsidRDefault="003F28B8" w:rsidP="003F28B8">
      <w:pPr>
        <w:spacing w:after="0"/>
        <w:jc w:val="both"/>
        <w:rPr>
          <w:b/>
          <w:i/>
          <w:color w:val="00B050"/>
          <w:sz w:val="28"/>
          <w:szCs w:val="28"/>
        </w:rPr>
      </w:pPr>
    </w:p>
    <w:p w14:paraId="10B4CE87" w14:textId="77777777" w:rsidR="003F28B8" w:rsidRPr="002928E8" w:rsidRDefault="003F28B8" w:rsidP="003F28B8">
      <w:pPr>
        <w:spacing w:after="0"/>
        <w:jc w:val="both"/>
        <w:rPr>
          <w:b/>
        </w:rPr>
      </w:pPr>
    </w:p>
    <w:p w14:paraId="0363D2D6" w14:textId="77777777" w:rsidR="003F28B8" w:rsidRPr="003D27C7" w:rsidRDefault="003F28B8" w:rsidP="003F28B8">
      <w:pPr>
        <w:spacing w:after="0"/>
        <w:jc w:val="both"/>
        <w:rPr>
          <w:b/>
          <w:i/>
          <w:sz w:val="28"/>
          <w:szCs w:val="28"/>
        </w:rPr>
      </w:pPr>
      <w:r>
        <w:rPr>
          <w:b/>
          <w:i/>
          <w:color w:val="00B050"/>
          <w:sz w:val="28"/>
          <w:szCs w:val="28"/>
        </w:rPr>
        <w:t xml:space="preserve">                    </w:t>
      </w:r>
      <w:r w:rsidRPr="003D27C7">
        <w:rPr>
          <w:b/>
          <w:i/>
          <w:color w:val="00B050"/>
          <w:sz w:val="28"/>
          <w:szCs w:val="28"/>
        </w:rPr>
        <w:t>ENVIRONMENTAL PROTECTION AGENCY OF LIBERIA (EPA)</w:t>
      </w:r>
    </w:p>
    <w:p w14:paraId="279BFB4A" w14:textId="77777777" w:rsidR="003F28B8" w:rsidRDefault="003F28B8" w:rsidP="003F28B8">
      <w:pPr>
        <w:spacing w:after="0" w:line="240" w:lineRule="auto"/>
        <w:jc w:val="center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>P.O. BOX 4024</w:t>
      </w:r>
    </w:p>
    <w:p w14:paraId="26040B6B" w14:textId="77777777" w:rsidR="003F28B8" w:rsidRDefault="003F28B8" w:rsidP="003F28B8">
      <w:pPr>
        <w:spacing w:after="0" w:line="240" w:lineRule="auto"/>
        <w:jc w:val="center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>4</w:t>
      </w:r>
      <w:r>
        <w:rPr>
          <w:b/>
          <w:color w:val="00B050"/>
          <w:sz w:val="20"/>
          <w:szCs w:val="20"/>
          <w:vertAlign w:val="superscript"/>
        </w:rPr>
        <w:t>TH</w:t>
      </w:r>
      <w:r>
        <w:rPr>
          <w:b/>
          <w:color w:val="00B050"/>
          <w:sz w:val="20"/>
          <w:szCs w:val="20"/>
        </w:rPr>
        <w:t xml:space="preserve"> STREET, SINKOR, TUBMAN BLVD.</w:t>
      </w:r>
    </w:p>
    <w:p w14:paraId="0436D0EE" w14:textId="77777777" w:rsidR="003F28B8" w:rsidRDefault="003F28B8" w:rsidP="003F28B8">
      <w:pPr>
        <w:spacing w:after="0" w:line="240" w:lineRule="auto"/>
        <w:jc w:val="center"/>
        <w:rPr>
          <w:b/>
          <w:color w:val="00B050"/>
          <w:sz w:val="20"/>
          <w:szCs w:val="20"/>
        </w:rPr>
      </w:pPr>
      <w:r>
        <w:rPr>
          <w:b/>
          <w:color w:val="00B050"/>
          <w:sz w:val="20"/>
          <w:szCs w:val="20"/>
        </w:rPr>
        <w:t>1000 MONROVIA 10, LIBERIA</w:t>
      </w:r>
    </w:p>
    <w:p w14:paraId="45F9F1C2" w14:textId="77777777" w:rsidR="003F28B8" w:rsidRDefault="003F28B8" w:rsidP="003F28B8">
      <w:pPr>
        <w:spacing w:after="0" w:line="240" w:lineRule="auto"/>
        <w:jc w:val="both"/>
        <w:rPr>
          <w:b/>
          <w:color w:val="00B050"/>
          <w:sz w:val="20"/>
          <w:szCs w:val="20"/>
        </w:rPr>
      </w:pPr>
    </w:p>
    <w:p w14:paraId="20BC7B44" w14:textId="77777777" w:rsidR="003F28B8" w:rsidRDefault="00C07E6C" w:rsidP="003F28B8">
      <w:pPr>
        <w:spacing w:after="0" w:line="240" w:lineRule="auto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Terms of R</w:t>
      </w:r>
      <w:r w:rsidR="003F28B8" w:rsidRPr="00952F3B">
        <w:rPr>
          <w:b/>
          <w:color w:val="00B050"/>
          <w:sz w:val="40"/>
          <w:szCs w:val="40"/>
        </w:rPr>
        <w:t>eference</w:t>
      </w:r>
    </w:p>
    <w:p w14:paraId="79D1A6BB" w14:textId="2FCB5A09" w:rsidR="003F28B8" w:rsidRPr="001B68F5" w:rsidRDefault="003F28B8" w:rsidP="001B68F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</w:rPr>
      </w:pPr>
      <w:r w:rsidRPr="001B68F5">
        <w:rPr>
          <w:rFonts w:ascii="Times New Roman" w:hAnsi="Times New Roman" w:cs="Times New Roman"/>
        </w:rPr>
        <w:t>PROJECT TITLE:</w:t>
      </w:r>
      <w:r w:rsidR="00EF0F56" w:rsidRPr="001B68F5">
        <w:rPr>
          <w:rFonts w:ascii="Times New Roman" w:hAnsi="Times New Roman" w:cs="Times New Roman"/>
        </w:rPr>
        <w:t xml:space="preserve"> P</w:t>
      </w:r>
      <w:r w:rsidRPr="001B68F5">
        <w:rPr>
          <w:rFonts w:ascii="Times New Roman" w:hAnsi="Times New Roman" w:cs="Times New Roman"/>
        </w:rPr>
        <w:t>reparation of</w:t>
      </w:r>
      <w:r w:rsidR="0029503B">
        <w:rPr>
          <w:rFonts w:ascii="Times New Roman" w:hAnsi="Times New Roman" w:cs="Times New Roman"/>
        </w:rPr>
        <w:t xml:space="preserve"> </w:t>
      </w:r>
      <w:r w:rsidR="00137E5A">
        <w:rPr>
          <w:rFonts w:ascii="Times New Roman" w:hAnsi="Times New Roman" w:cs="Times New Roman"/>
        </w:rPr>
        <w:t xml:space="preserve">Liberia’s First Biennial </w:t>
      </w:r>
      <w:r w:rsidR="0039765F">
        <w:rPr>
          <w:rFonts w:ascii="Times New Roman" w:hAnsi="Times New Roman" w:cs="Times New Roman"/>
        </w:rPr>
        <w:t xml:space="preserve">Transparency </w:t>
      </w:r>
      <w:r w:rsidR="00137E5A">
        <w:rPr>
          <w:rFonts w:ascii="Times New Roman" w:hAnsi="Times New Roman" w:cs="Times New Roman"/>
        </w:rPr>
        <w:t xml:space="preserve">Report </w:t>
      </w:r>
      <w:r w:rsidR="0039765F">
        <w:rPr>
          <w:rFonts w:ascii="Times New Roman" w:hAnsi="Times New Roman" w:cs="Times New Roman"/>
        </w:rPr>
        <w:t xml:space="preserve">and Third National Communication </w:t>
      </w:r>
      <w:r w:rsidR="00137E5A">
        <w:rPr>
          <w:rFonts w:ascii="Times New Roman" w:hAnsi="Times New Roman" w:cs="Times New Roman"/>
        </w:rPr>
        <w:t>(B</w:t>
      </w:r>
      <w:r w:rsidR="0039765F">
        <w:rPr>
          <w:rFonts w:ascii="Times New Roman" w:hAnsi="Times New Roman" w:cs="Times New Roman"/>
        </w:rPr>
        <w:t>T</w:t>
      </w:r>
      <w:r w:rsidR="00137E5A">
        <w:rPr>
          <w:rFonts w:ascii="Times New Roman" w:hAnsi="Times New Roman" w:cs="Times New Roman"/>
        </w:rPr>
        <w:t>R</w:t>
      </w:r>
      <w:r w:rsidR="0039765F">
        <w:rPr>
          <w:rFonts w:ascii="Times New Roman" w:hAnsi="Times New Roman" w:cs="Times New Roman"/>
        </w:rPr>
        <w:t>1NC3</w:t>
      </w:r>
      <w:r w:rsidR="00137E5A">
        <w:rPr>
          <w:rFonts w:ascii="Times New Roman" w:hAnsi="Times New Roman" w:cs="Times New Roman"/>
        </w:rPr>
        <w:t xml:space="preserve">) </w:t>
      </w:r>
      <w:r w:rsidRPr="001B68F5">
        <w:rPr>
          <w:rFonts w:ascii="Times New Roman" w:hAnsi="Times New Roman" w:cs="Times New Roman"/>
        </w:rPr>
        <w:t xml:space="preserve">to the </w:t>
      </w:r>
      <w:r w:rsidR="00EF0F56" w:rsidRPr="001B68F5">
        <w:rPr>
          <w:rFonts w:ascii="Times New Roman" w:hAnsi="Times New Roman" w:cs="Times New Roman"/>
        </w:rPr>
        <w:t>United Nations Framework Convention on C</w:t>
      </w:r>
      <w:r w:rsidRPr="001B68F5">
        <w:rPr>
          <w:rFonts w:ascii="Times New Roman" w:hAnsi="Times New Roman" w:cs="Times New Roman"/>
        </w:rPr>
        <w:t xml:space="preserve">limate </w:t>
      </w:r>
      <w:r w:rsidR="00EF0F56" w:rsidRPr="001B68F5">
        <w:rPr>
          <w:rFonts w:ascii="Times New Roman" w:hAnsi="Times New Roman" w:cs="Times New Roman"/>
        </w:rPr>
        <w:t>C</w:t>
      </w:r>
      <w:r w:rsidRPr="001B68F5">
        <w:rPr>
          <w:rFonts w:ascii="Times New Roman" w:hAnsi="Times New Roman" w:cs="Times New Roman"/>
        </w:rPr>
        <w:t>hange</w:t>
      </w:r>
      <w:r w:rsidR="00EF0F56" w:rsidRPr="001B68F5">
        <w:rPr>
          <w:rFonts w:ascii="Times New Roman" w:hAnsi="Times New Roman" w:cs="Times New Roman"/>
        </w:rPr>
        <w:t xml:space="preserve"> (UNFCCC)</w:t>
      </w:r>
    </w:p>
    <w:p w14:paraId="7AF65BA0" w14:textId="77777777" w:rsidR="003F28B8" w:rsidRPr="00105F32" w:rsidRDefault="003F28B8" w:rsidP="001B68F5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  <w:r w:rsidRPr="001B68F5">
        <w:rPr>
          <w:rFonts w:ascii="Times New Roman" w:hAnsi="Times New Roman" w:cs="Times New Roman"/>
        </w:rPr>
        <w:softHyphen/>
      </w:r>
      <w:r w:rsidRPr="001B68F5">
        <w:rPr>
          <w:rFonts w:ascii="Times New Roman" w:hAnsi="Times New Roman" w:cs="Times New Roman"/>
        </w:rPr>
        <w:softHyphen/>
        <w:t>___________________________________________________</w:t>
      </w:r>
      <w:r w:rsidRPr="00105F32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58260787" w14:textId="77777777" w:rsidR="003F28B8" w:rsidRPr="00105F32" w:rsidRDefault="003F28B8" w:rsidP="00615EC1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</w:p>
    <w:p w14:paraId="4E186CC0" w14:textId="77777777" w:rsidR="001E471F" w:rsidRDefault="007F3079" w:rsidP="00615EC1">
      <w:pPr>
        <w:pStyle w:val="NoSpacing"/>
        <w:tabs>
          <w:tab w:val="left" w:pos="5295"/>
        </w:tabs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Job Title                    C</w:t>
      </w:r>
      <w:r w:rsidR="001E471F">
        <w:rPr>
          <w:rFonts w:ascii="Times New Roman" w:hAnsi="Times New Roman" w:cs="Times New Roman"/>
          <w:sz w:val="21"/>
          <w:szCs w:val="21"/>
        </w:rPr>
        <w:t xml:space="preserve">all for Audit on the Financial Statements of Liberia’s First Biennial Transparency Report </w:t>
      </w:r>
    </w:p>
    <w:p w14:paraId="45FBB05E" w14:textId="214E3B38" w:rsidR="003F28B8" w:rsidRPr="00105F32" w:rsidRDefault="001E471F" w:rsidP="00615EC1">
      <w:pPr>
        <w:pStyle w:val="NoSpacing"/>
        <w:tabs>
          <w:tab w:val="left" w:pos="5295"/>
        </w:tabs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&amp; Third National Communication (BTR1NC3) Project </w:t>
      </w:r>
    </w:p>
    <w:p w14:paraId="63A9D652" w14:textId="77777777" w:rsidR="003F28B8" w:rsidRPr="00105F32" w:rsidRDefault="003F28B8" w:rsidP="00615EC1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  <w:r w:rsidRPr="00105F32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</w:t>
      </w:r>
    </w:p>
    <w:p w14:paraId="058FEF45" w14:textId="77777777" w:rsidR="003F28B8" w:rsidRPr="00105F32" w:rsidRDefault="003F28B8" w:rsidP="00615EC1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</w:p>
    <w:p w14:paraId="7DDAD79F" w14:textId="3B849082" w:rsidR="003F28B8" w:rsidRPr="00105F32" w:rsidRDefault="003F28B8" w:rsidP="00615EC1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  <w:r w:rsidRPr="00105F32">
        <w:rPr>
          <w:rFonts w:ascii="Times New Roman" w:hAnsi="Times New Roman" w:cs="Times New Roman"/>
          <w:sz w:val="21"/>
          <w:szCs w:val="21"/>
        </w:rPr>
        <w:t>Division/Department</w:t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="004919C1" w:rsidRPr="00105F32">
        <w:rPr>
          <w:rFonts w:ascii="Times New Roman" w:hAnsi="Times New Roman" w:cs="Times New Roman"/>
          <w:sz w:val="21"/>
          <w:szCs w:val="21"/>
        </w:rPr>
        <w:t xml:space="preserve">Climate Change </w:t>
      </w:r>
    </w:p>
    <w:p w14:paraId="4F8ED962" w14:textId="77777777" w:rsidR="003F28B8" w:rsidRPr="00105F32" w:rsidRDefault="003F28B8" w:rsidP="00615EC1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  <w:r w:rsidRPr="00105F32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</w:t>
      </w:r>
    </w:p>
    <w:p w14:paraId="363670B9" w14:textId="77777777" w:rsidR="003F28B8" w:rsidRPr="00105F32" w:rsidRDefault="003F28B8" w:rsidP="00615EC1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</w:p>
    <w:p w14:paraId="618F472A" w14:textId="11F310F4" w:rsidR="003F28B8" w:rsidRPr="006228E6" w:rsidRDefault="003F28B8" w:rsidP="00615EC1">
      <w:pPr>
        <w:pStyle w:val="NoSpacing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05F32">
        <w:rPr>
          <w:rFonts w:ascii="Times New Roman" w:hAnsi="Times New Roman" w:cs="Times New Roman"/>
          <w:sz w:val="21"/>
          <w:szCs w:val="21"/>
        </w:rPr>
        <w:t>Programme/Project Number</w:t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="00137E5A">
        <w:rPr>
          <w:rFonts w:ascii="Times New Roman" w:hAnsi="Times New Roman" w:cs="Times New Roman"/>
          <w:sz w:val="21"/>
          <w:szCs w:val="21"/>
        </w:rPr>
        <w:t xml:space="preserve">SB – </w:t>
      </w:r>
      <w:r w:rsidR="00137E5A" w:rsidRPr="00105F32">
        <w:rPr>
          <w:rFonts w:ascii="Times New Roman" w:hAnsi="Times New Roman" w:cs="Times New Roman"/>
          <w:sz w:val="21"/>
          <w:szCs w:val="21"/>
        </w:rPr>
        <w:t xml:space="preserve"> 0</w:t>
      </w:r>
      <w:r w:rsidR="0039765F">
        <w:rPr>
          <w:rFonts w:ascii="Times New Roman" w:hAnsi="Times New Roman" w:cs="Times New Roman"/>
          <w:sz w:val="21"/>
          <w:szCs w:val="21"/>
        </w:rPr>
        <w:t>19444.04</w:t>
      </w:r>
    </w:p>
    <w:p w14:paraId="50AA0DEB" w14:textId="77777777" w:rsidR="003F28B8" w:rsidRPr="00105F32" w:rsidRDefault="003F28B8" w:rsidP="00615EC1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  <w:r w:rsidRPr="00105F32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</w:t>
      </w:r>
    </w:p>
    <w:p w14:paraId="26E4CD49" w14:textId="75D06553" w:rsidR="003F28B8" w:rsidRPr="00105F32" w:rsidRDefault="003F28B8" w:rsidP="00615EC1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  <w:r w:rsidRPr="00105F32">
        <w:rPr>
          <w:rFonts w:ascii="Times New Roman" w:hAnsi="Times New Roman" w:cs="Times New Roman"/>
          <w:sz w:val="21"/>
          <w:szCs w:val="21"/>
        </w:rPr>
        <w:t>Location</w:t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Pr="00105F32">
        <w:rPr>
          <w:rFonts w:ascii="Times New Roman" w:hAnsi="Times New Roman" w:cs="Times New Roman"/>
          <w:sz w:val="21"/>
          <w:szCs w:val="21"/>
        </w:rPr>
        <w:t>Monrovia, Liberia</w:t>
      </w:r>
    </w:p>
    <w:p w14:paraId="32A425FD" w14:textId="77777777" w:rsidR="003F28B8" w:rsidRPr="00105F32" w:rsidRDefault="003F28B8" w:rsidP="00615EC1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  <w:r w:rsidRPr="00105F32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</w:t>
      </w:r>
    </w:p>
    <w:p w14:paraId="105A36F9" w14:textId="3192FE84" w:rsidR="003F28B8" w:rsidRPr="00105F32" w:rsidRDefault="003F28B8" w:rsidP="001B68F5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  <w:r w:rsidRPr="00105F32">
        <w:rPr>
          <w:rFonts w:ascii="Times New Roman" w:hAnsi="Times New Roman" w:cs="Times New Roman"/>
          <w:sz w:val="21"/>
          <w:szCs w:val="21"/>
        </w:rPr>
        <w:t>Reports</w:t>
      </w:r>
      <w:r w:rsidR="00213883" w:rsidRPr="00105F32">
        <w:rPr>
          <w:rFonts w:ascii="Times New Roman" w:hAnsi="Times New Roman" w:cs="Times New Roman"/>
          <w:sz w:val="21"/>
          <w:szCs w:val="21"/>
        </w:rPr>
        <w:t xml:space="preserve"> to</w:t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</w:r>
      <w:r w:rsidR="00213883" w:rsidRPr="00105F32">
        <w:rPr>
          <w:rFonts w:ascii="Times New Roman" w:hAnsi="Times New Roman" w:cs="Times New Roman"/>
          <w:sz w:val="21"/>
          <w:szCs w:val="21"/>
        </w:rPr>
        <w:tab/>
        <w:t>National Project Coordinator (NPC)</w:t>
      </w:r>
      <w:r w:rsidRPr="00105F32">
        <w:rPr>
          <w:rFonts w:ascii="Times New Roman" w:hAnsi="Times New Roman" w:cs="Times New Roman"/>
          <w:sz w:val="21"/>
          <w:szCs w:val="21"/>
        </w:rPr>
        <w:t xml:space="preserve">      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9404"/>
        <w:gridCol w:w="18"/>
      </w:tblGrid>
      <w:tr w:rsidR="003F28B8" w:rsidRPr="00105F32" w14:paraId="28D76DEE" w14:textId="77777777" w:rsidTr="00C026C0">
        <w:tc>
          <w:tcPr>
            <w:tcW w:w="9648" w:type="dxa"/>
            <w:gridSpan w:val="2"/>
          </w:tcPr>
          <w:p w14:paraId="22BF882A" w14:textId="77777777" w:rsidR="003F28B8" w:rsidRPr="00105F32" w:rsidRDefault="003F28B8" w:rsidP="001B68F5">
            <w:pPr>
              <w:pStyle w:val="NoSpacing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5F32">
              <w:rPr>
                <w:rFonts w:ascii="Times New Roman" w:hAnsi="Times New Roman" w:cs="Times New Roman"/>
                <w:sz w:val="21"/>
                <w:szCs w:val="21"/>
              </w:rPr>
              <w:t>BACKGROUND</w:t>
            </w:r>
          </w:p>
        </w:tc>
      </w:tr>
      <w:tr w:rsidR="003F28B8" w:rsidRPr="00105F32" w14:paraId="310FE58D" w14:textId="77777777" w:rsidTr="00C026C0">
        <w:trPr>
          <w:gridAfter w:val="1"/>
          <w:wAfter w:w="18" w:type="dxa"/>
          <w:trHeight w:val="3203"/>
        </w:trPr>
        <w:tc>
          <w:tcPr>
            <w:tcW w:w="9630" w:type="dxa"/>
          </w:tcPr>
          <w:p w14:paraId="2DE550A9" w14:textId="08282744" w:rsidR="00137E5A" w:rsidRPr="00105F32" w:rsidRDefault="00137E5A" w:rsidP="00137E5A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5F32">
              <w:rPr>
                <w:rFonts w:ascii="Times New Roman" w:hAnsi="Times New Roman" w:cs="Times New Roman"/>
                <w:sz w:val="21"/>
                <w:szCs w:val="21"/>
              </w:rPr>
              <w:t xml:space="preserve">The Environmental Protection Agency is the </w:t>
            </w:r>
            <w:r w:rsidR="00615EC1">
              <w:rPr>
                <w:rFonts w:ascii="Times New Roman" w:hAnsi="Times New Roman" w:cs="Times New Roman"/>
                <w:sz w:val="21"/>
                <w:szCs w:val="21"/>
              </w:rPr>
              <w:t xml:space="preserve">national designated authority </w:t>
            </w:r>
            <w:r w:rsidRPr="00105F32">
              <w:rPr>
                <w:rFonts w:ascii="Times New Roman" w:hAnsi="Times New Roman" w:cs="Times New Roman"/>
                <w:sz w:val="21"/>
                <w:szCs w:val="21"/>
              </w:rPr>
              <w:t>responsible for the implementation of international environment treaties to which Liberia is a Party. Within the EPA, there exists a Climate Change Enabling Unit responsible for activities related to the preparation of National Communications (NC</w:t>
            </w:r>
            <w:r w:rsidR="00805FF6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Pr="00105F32">
              <w:rPr>
                <w:rFonts w:ascii="Times New Roman" w:hAnsi="Times New Roman" w:cs="Times New Roman"/>
                <w:sz w:val="21"/>
                <w:szCs w:val="21"/>
              </w:rPr>
              <w:t xml:space="preserve">); Biennial </w:t>
            </w:r>
            <w:r w:rsidR="0039765F">
              <w:rPr>
                <w:rFonts w:ascii="Times New Roman" w:hAnsi="Times New Roman" w:cs="Times New Roman"/>
                <w:sz w:val="21"/>
                <w:szCs w:val="21"/>
              </w:rPr>
              <w:t xml:space="preserve">Transparency </w:t>
            </w:r>
            <w:r w:rsidRPr="00105F32">
              <w:rPr>
                <w:rFonts w:ascii="Times New Roman" w:hAnsi="Times New Roman" w:cs="Times New Roman"/>
                <w:sz w:val="21"/>
                <w:szCs w:val="21"/>
              </w:rPr>
              <w:t>Reports (B</w:t>
            </w:r>
            <w:r w:rsidR="0039765F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Pr="00105F32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="00805FF6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Pr="00105F32">
              <w:rPr>
                <w:rFonts w:ascii="Times New Roman" w:hAnsi="Times New Roman" w:cs="Times New Roman"/>
                <w:sz w:val="21"/>
                <w:szCs w:val="21"/>
              </w:rPr>
              <w:t>); and Greenhouse Gas (GHG) National Inventory Reports (NIR</w:t>
            </w:r>
            <w:r w:rsidR="00791205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Pr="00105F32">
              <w:rPr>
                <w:rFonts w:ascii="Times New Roman" w:hAnsi="Times New Roman" w:cs="Times New Roman"/>
                <w:sz w:val="21"/>
                <w:szCs w:val="21"/>
              </w:rPr>
              <w:t xml:space="preserve">) of the Republic of Liberia in fulfilment of our national obligations to the UNFCCC. The Unit is also responsible for monitoring climate change related activities/projects and their execution on behalf of the EPA. </w:t>
            </w:r>
          </w:p>
          <w:p w14:paraId="459A07E9" w14:textId="562C5DD2" w:rsidR="0039765F" w:rsidRDefault="0039765F" w:rsidP="0039765F">
            <w:pPr>
              <w:spacing w:after="12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9765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The content of deliverables produced under this output must follow the 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 xml:space="preserve">Modalities, Procedures and Guidelines for the transparency framework for action and support referred to in Article 13 of the Paris Agreement 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</w:rPr>
              <w:t>(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FCCC/PA/CMA/2018/3/Add.2). Moreover, as adopted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at COP 26 in Decision 5/CMA.3, 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 xml:space="preserve">the following will be observed: 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</w:rPr>
              <w:t>(i) outlines for the BTR &amp; national inventory document (NIR); (ii)  the common reporting tables and common tabular formats for reporting GHG Inventory, NDC progress, financial, technology development and transfer and capacity-building support provided and mobilized, as well as support needed and received (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FCCC/PA/CMA/2021/10/Add.2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). </w:t>
            </w:r>
          </w:p>
          <w:p w14:paraId="52D42EB0" w14:textId="786E9B07" w:rsidR="003F28B8" w:rsidRPr="00105F32" w:rsidRDefault="0039765F" w:rsidP="00615EC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Liberia’s 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</w:rPr>
              <w:t>BTR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1NC3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is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build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ing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on findings and recommendations from previous NC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s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and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the 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</w:rPr>
              <w:t>BUR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as well as recommendations resulting from the International Consultation and Analysis (ICA) process.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It specifically addresses (i) n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</w:rPr>
              <w:t>ational inventory report of anthropogenic emissions by sources and removals by sinks of greenhouse gases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; (i) i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</w:rPr>
              <w:t>nformation necessary to track progress made in implementing and achieving nationally determined contributions under Article 4 of the Paris Agreement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; (iii) i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</w:rPr>
              <w:t>nformation related to climate change impacts and adaptation under Article 7 of the Paris Agreement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; (iv) i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</w:rPr>
              <w:t>nformation on financial, technology development and transfer and capacity-building support needed and received under Articles 9–11 of the Paris Agreement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; (v) 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</w:rPr>
              <w:t>Other relevant information (e.g. gender</w:t>
            </w:r>
            <w:r w:rsidR="00615EC1">
              <w:rPr>
                <w:rFonts w:ascii="Times New Roman" w:hAnsi="Times New Roman" w:cs="Times New Roman"/>
                <w:bCs/>
                <w:sz w:val="21"/>
                <w:szCs w:val="21"/>
              </w:rPr>
              <w:t>, RSO, education/training and public awareness</w:t>
            </w:r>
            <w:r w:rsidRPr="0039765F">
              <w:rPr>
                <w:rFonts w:ascii="Times New Roman" w:hAnsi="Times New Roman" w:cs="Times New Roman"/>
                <w:bCs/>
                <w:sz w:val="21"/>
                <w:szCs w:val="21"/>
              </w:rPr>
              <w:t>)</w:t>
            </w:r>
            <w:r w:rsidR="00615EC1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</w:tr>
    </w:tbl>
    <w:p w14:paraId="7AE319E2" w14:textId="77777777" w:rsidR="00152AEA" w:rsidRPr="001B68F5" w:rsidRDefault="00152AEA" w:rsidP="00D44F3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B68F5">
        <w:rPr>
          <w:rFonts w:ascii="Times New Roman" w:hAnsi="Times New Roman" w:cs="Times New Roman"/>
          <w:b/>
        </w:rPr>
        <w:lastRenderedPageBreak/>
        <w:t xml:space="preserve">OBJECTIVE </w:t>
      </w:r>
    </w:p>
    <w:p w14:paraId="3B473AFC" w14:textId="7175F7C9" w:rsidR="00152AEA" w:rsidRDefault="001E471F" w:rsidP="00D44F30">
      <w:pPr>
        <w:spacing w:line="360" w:lineRule="auto"/>
        <w:jc w:val="both"/>
        <w:rPr>
          <w:rFonts w:ascii="Times New Roman" w:hAnsi="Times New Roman" w:cs="Times New Roman"/>
        </w:rPr>
      </w:pPr>
      <w:r w:rsidRPr="001E471F">
        <w:rPr>
          <w:rFonts w:ascii="Times New Roman" w:hAnsi="Times New Roman" w:cs="Times New Roman"/>
        </w:rPr>
        <w:t xml:space="preserve">The Environmental Protection Agency (EPA) of Liberia hereby expresses its interest in engaging </w:t>
      </w:r>
      <w:r>
        <w:rPr>
          <w:rFonts w:ascii="Times New Roman" w:hAnsi="Times New Roman" w:cs="Times New Roman"/>
        </w:rPr>
        <w:t>an auditing</w:t>
      </w:r>
      <w:r w:rsidRPr="001E471F">
        <w:rPr>
          <w:rFonts w:ascii="Times New Roman" w:hAnsi="Times New Roman" w:cs="Times New Roman"/>
        </w:rPr>
        <w:t xml:space="preserve"> firm to conduct an independent audit of the BTR1NC</w:t>
      </w:r>
      <w:r>
        <w:rPr>
          <w:rFonts w:ascii="Times New Roman" w:hAnsi="Times New Roman" w:cs="Times New Roman"/>
        </w:rPr>
        <w:t>3</w:t>
      </w:r>
      <w:r w:rsidRPr="001E471F">
        <w:rPr>
          <w:rFonts w:ascii="Times New Roman" w:hAnsi="Times New Roman" w:cs="Times New Roman"/>
        </w:rPr>
        <w:t xml:space="preserve"> Project, funded under the Global Environment Facility (GEF). The purpose of this audit is to ensure financial transparency, accountability, and compliance with the terms outlined in the project document.</w:t>
      </w:r>
    </w:p>
    <w:p w14:paraId="23655460" w14:textId="77777777" w:rsidR="00D44F30" w:rsidRDefault="00D44F30" w:rsidP="001B68F5">
      <w:pPr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36AEAC64" w14:textId="048CAA13" w:rsidR="00152AEA" w:rsidRPr="001B68F5" w:rsidRDefault="00152AEA" w:rsidP="001B68F5">
      <w:pPr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1B68F5">
        <w:rPr>
          <w:rFonts w:ascii="Times New Roman" w:hAnsi="Times New Roman" w:cs="Times New Roman"/>
          <w:b/>
          <w:bCs/>
          <w:iCs/>
        </w:rPr>
        <w:t>SCOPE OF WORK</w:t>
      </w:r>
    </w:p>
    <w:p w14:paraId="3022C2FF" w14:textId="77777777" w:rsidR="00D44F30" w:rsidRDefault="00D44F30" w:rsidP="00E34CB1">
      <w:pPr>
        <w:spacing w:line="360" w:lineRule="auto"/>
        <w:jc w:val="both"/>
        <w:rPr>
          <w:rFonts w:ascii="Times New Roman" w:hAnsi="Times New Roman" w:cs="Times New Roman"/>
          <w:b/>
          <w:iCs/>
        </w:rPr>
      </w:pPr>
    </w:p>
    <w:p w14:paraId="41E75F38" w14:textId="4473F8F6" w:rsidR="00D44F30" w:rsidRDefault="00D44F30" w:rsidP="00E34CB1">
      <w:pPr>
        <w:spacing w:line="360" w:lineRule="auto"/>
        <w:jc w:val="both"/>
        <w:rPr>
          <w:rFonts w:ascii="Times New Roman" w:hAnsi="Times New Roman" w:cs="Times New Roman"/>
          <w:bCs/>
          <w:iCs/>
        </w:rPr>
      </w:pPr>
      <w:r w:rsidRPr="00D44F30">
        <w:rPr>
          <w:rFonts w:ascii="Times New Roman" w:hAnsi="Times New Roman" w:cs="Times New Roman"/>
          <w:b/>
          <w:iCs/>
        </w:rPr>
        <w:t>Audit Periods:</w:t>
      </w:r>
      <w:r>
        <w:rPr>
          <w:rFonts w:ascii="Times New Roman" w:hAnsi="Times New Roman" w:cs="Times New Roman"/>
          <w:bCs/>
          <w:iCs/>
        </w:rPr>
        <w:tab/>
        <w:t xml:space="preserve">(1) </w:t>
      </w:r>
      <w:r w:rsidRPr="00D44F30">
        <w:rPr>
          <w:rFonts w:ascii="Times New Roman" w:hAnsi="Times New Roman" w:cs="Times New Roman"/>
          <w:bCs/>
          <w:iCs/>
        </w:rPr>
        <w:t xml:space="preserve">July 2022 to December 2023 &amp; </w:t>
      </w:r>
    </w:p>
    <w:p w14:paraId="606CDF43" w14:textId="6AA8B35A" w:rsidR="00D44F30" w:rsidRDefault="00D44F30" w:rsidP="00D44F30">
      <w:pPr>
        <w:spacing w:line="360" w:lineRule="auto"/>
        <w:ind w:left="720" w:firstLine="72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(2) </w:t>
      </w:r>
      <w:r w:rsidRPr="00D44F30">
        <w:rPr>
          <w:rFonts w:ascii="Times New Roman" w:hAnsi="Times New Roman" w:cs="Times New Roman"/>
          <w:bCs/>
          <w:iCs/>
        </w:rPr>
        <w:t>January 2024</w:t>
      </w:r>
      <w:r>
        <w:rPr>
          <w:rFonts w:ascii="Times New Roman" w:hAnsi="Times New Roman" w:cs="Times New Roman"/>
          <w:bCs/>
          <w:iCs/>
        </w:rPr>
        <w:t xml:space="preserve"> – </w:t>
      </w:r>
      <w:r w:rsidRPr="00D44F30">
        <w:rPr>
          <w:rFonts w:ascii="Times New Roman" w:hAnsi="Times New Roman" w:cs="Times New Roman"/>
          <w:bCs/>
          <w:iCs/>
        </w:rPr>
        <w:t>December 2025</w:t>
      </w:r>
    </w:p>
    <w:p w14:paraId="21F4B943" w14:textId="77777777" w:rsidR="00D44F30" w:rsidRDefault="00D44F30" w:rsidP="00D44F30">
      <w:pPr>
        <w:spacing w:line="360" w:lineRule="auto"/>
        <w:jc w:val="both"/>
        <w:rPr>
          <w:rFonts w:ascii="Times New Roman" w:hAnsi="Times New Roman" w:cs="Times New Roman"/>
          <w:bCs/>
          <w:iCs/>
        </w:rPr>
      </w:pPr>
    </w:p>
    <w:p w14:paraId="37E4DF62" w14:textId="6EF401C4" w:rsidR="00D44F30" w:rsidRPr="00D44F30" w:rsidRDefault="00D44F30" w:rsidP="00D44F30">
      <w:pPr>
        <w:spacing w:line="360" w:lineRule="auto"/>
        <w:jc w:val="both"/>
        <w:rPr>
          <w:rFonts w:ascii="Times New Roman" w:hAnsi="Times New Roman" w:cs="Times New Roman"/>
          <w:bCs/>
          <w:iCs/>
        </w:rPr>
      </w:pPr>
      <w:r w:rsidRPr="00D44F30">
        <w:rPr>
          <w:rFonts w:ascii="Times New Roman" w:hAnsi="Times New Roman" w:cs="Times New Roman"/>
          <w:bCs/>
          <w:iCs/>
        </w:rPr>
        <w:t>The consultant shall perform the following tasks:</w:t>
      </w:r>
    </w:p>
    <w:p w14:paraId="6461B1DA" w14:textId="5A102CBA" w:rsidR="00D44F30" w:rsidRDefault="00D44F30" w:rsidP="008C2EF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iCs/>
        </w:rPr>
      </w:pPr>
      <w:r w:rsidRPr="00D44F30">
        <w:rPr>
          <w:rFonts w:ascii="Times New Roman" w:hAnsi="Times New Roman" w:cs="Times New Roman"/>
          <w:b/>
          <w:iCs/>
        </w:rPr>
        <w:t>Coverage of GEF Funds:</w:t>
      </w:r>
      <w:r w:rsidRPr="00D44F30">
        <w:rPr>
          <w:rFonts w:ascii="Times New Roman" w:hAnsi="Times New Roman" w:cs="Times New Roman"/>
          <w:bCs/>
          <w:iCs/>
        </w:rPr>
        <w:t xml:space="preserve"> The audit shall encompass all financial transactions and activities related to the GEF-funded components of the BTR1NC3 Project.</w:t>
      </w:r>
    </w:p>
    <w:p w14:paraId="409CCB4A" w14:textId="77777777" w:rsidR="00D44F30" w:rsidRDefault="00D44F30" w:rsidP="00D44F30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iCs/>
        </w:rPr>
      </w:pPr>
    </w:p>
    <w:p w14:paraId="3BDA963B" w14:textId="6F5B8B27" w:rsidR="00D44F30" w:rsidRDefault="00D44F30" w:rsidP="00D44F3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iCs/>
        </w:rPr>
      </w:pPr>
      <w:r w:rsidRPr="00D44F30">
        <w:rPr>
          <w:rFonts w:ascii="Times New Roman" w:hAnsi="Times New Roman" w:cs="Times New Roman"/>
          <w:b/>
          <w:iCs/>
        </w:rPr>
        <w:t>Verification of Accounting Records:</w:t>
      </w:r>
      <w:r>
        <w:rPr>
          <w:rFonts w:ascii="Times New Roman" w:hAnsi="Times New Roman" w:cs="Times New Roman"/>
          <w:bCs/>
          <w:iCs/>
        </w:rPr>
        <w:t xml:space="preserve"> </w:t>
      </w:r>
      <w:r w:rsidRPr="00D44F30">
        <w:rPr>
          <w:rFonts w:ascii="Times New Roman" w:hAnsi="Times New Roman" w:cs="Times New Roman"/>
          <w:bCs/>
          <w:iCs/>
        </w:rPr>
        <w:t>Verify that proper books of account have been maintained in accordance with recognized accounting principles and standards, and that records accurately reflect the project’s financial transactions.</w:t>
      </w:r>
    </w:p>
    <w:p w14:paraId="104F7589" w14:textId="77777777" w:rsidR="00D44F30" w:rsidRPr="00D44F30" w:rsidRDefault="00D44F30" w:rsidP="00D44F30">
      <w:pPr>
        <w:pStyle w:val="ListParagraph"/>
        <w:rPr>
          <w:rFonts w:ascii="Times New Roman" w:hAnsi="Times New Roman" w:cs="Times New Roman"/>
          <w:bCs/>
          <w:iCs/>
        </w:rPr>
      </w:pPr>
    </w:p>
    <w:p w14:paraId="35F21431" w14:textId="68E717E5" w:rsidR="00D44F30" w:rsidRDefault="00D44F30" w:rsidP="00D44F3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iCs/>
        </w:rPr>
      </w:pPr>
      <w:r w:rsidRPr="00D44F30">
        <w:rPr>
          <w:rFonts w:ascii="Times New Roman" w:hAnsi="Times New Roman" w:cs="Times New Roman"/>
          <w:b/>
          <w:iCs/>
        </w:rPr>
        <w:t>Review of Supporting Documentation:</w:t>
      </w:r>
      <w:r>
        <w:rPr>
          <w:rFonts w:ascii="Times New Roman" w:hAnsi="Times New Roman" w:cs="Times New Roman"/>
          <w:bCs/>
          <w:iCs/>
        </w:rPr>
        <w:t xml:space="preserve"> </w:t>
      </w:r>
      <w:r w:rsidRPr="00D44F30">
        <w:rPr>
          <w:rFonts w:ascii="Times New Roman" w:hAnsi="Times New Roman" w:cs="Times New Roman"/>
          <w:bCs/>
          <w:iCs/>
        </w:rPr>
        <w:t>Examine whether all project expenditures are supported by adequate vouchers, receipts, and other relevant documentation, ensuring the authenticity and completeness of the financial records.</w:t>
      </w:r>
    </w:p>
    <w:p w14:paraId="02B38010" w14:textId="77777777" w:rsidR="00D44F30" w:rsidRPr="00D44F30" w:rsidRDefault="00D44F30" w:rsidP="00D44F30">
      <w:pPr>
        <w:pStyle w:val="ListParagraph"/>
        <w:rPr>
          <w:rFonts w:ascii="Times New Roman" w:hAnsi="Times New Roman" w:cs="Times New Roman"/>
          <w:bCs/>
          <w:iCs/>
        </w:rPr>
      </w:pPr>
    </w:p>
    <w:p w14:paraId="26DA5265" w14:textId="7D3E506B" w:rsidR="00D44F30" w:rsidRDefault="00D44F30" w:rsidP="00F921C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iCs/>
        </w:rPr>
      </w:pPr>
      <w:r w:rsidRPr="00D44F30">
        <w:rPr>
          <w:rFonts w:ascii="Times New Roman" w:hAnsi="Times New Roman" w:cs="Times New Roman"/>
          <w:b/>
          <w:iCs/>
        </w:rPr>
        <w:t>Compliance with Project Objectives:</w:t>
      </w:r>
      <w:r w:rsidRPr="00D44F30">
        <w:rPr>
          <w:rFonts w:ascii="Times New Roman" w:hAnsi="Times New Roman" w:cs="Times New Roman"/>
          <w:bCs/>
          <w:iCs/>
        </w:rPr>
        <w:t xml:space="preserve"> Assess whether expenditures have been incurred in line with the approved project document, and that financial resources have been used solely to achieve the project’s intended objectives and activities.</w:t>
      </w:r>
    </w:p>
    <w:p w14:paraId="087F8280" w14:textId="77777777" w:rsidR="00D44F30" w:rsidRPr="00D44F30" w:rsidRDefault="00D44F30" w:rsidP="00D44F30">
      <w:pPr>
        <w:pStyle w:val="ListParagraph"/>
        <w:rPr>
          <w:rFonts w:ascii="Times New Roman" w:hAnsi="Times New Roman" w:cs="Times New Roman"/>
          <w:bCs/>
          <w:iCs/>
        </w:rPr>
      </w:pPr>
    </w:p>
    <w:p w14:paraId="2949C00F" w14:textId="0866C02C" w:rsidR="00E34CB1" w:rsidRPr="00D44F30" w:rsidRDefault="00D44F30" w:rsidP="00D44F3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iCs/>
        </w:rPr>
      </w:pPr>
      <w:r w:rsidRPr="00D44F30">
        <w:rPr>
          <w:rFonts w:ascii="Times New Roman" w:hAnsi="Times New Roman" w:cs="Times New Roman"/>
          <w:b/>
          <w:iCs/>
        </w:rPr>
        <w:t>Financial Reporting Accuracy:</w:t>
      </w:r>
      <w:r>
        <w:rPr>
          <w:rFonts w:ascii="Times New Roman" w:hAnsi="Times New Roman" w:cs="Times New Roman"/>
          <w:bCs/>
          <w:iCs/>
        </w:rPr>
        <w:t xml:space="preserve"> </w:t>
      </w:r>
      <w:r w:rsidRPr="00D44F30">
        <w:rPr>
          <w:rFonts w:ascii="Times New Roman" w:hAnsi="Times New Roman" w:cs="Times New Roman"/>
          <w:bCs/>
          <w:iCs/>
        </w:rPr>
        <w:t>Determine whether the project’s financial statements and expenditure reports present a true and fair view of the project’s financial position, performance, and use of funds.</w:t>
      </w:r>
    </w:p>
    <w:p w14:paraId="1DB5CD00" w14:textId="77777777" w:rsidR="00152AEA" w:rsidRPr="001B68F5" w:rsidRDefault="00152AEA" w:rsidP="001B68F5">
      <w:pPr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1B68F5">
        <w:rPr>
          <w:rFonts w:ascii="Times New Roman" w:hAnsi="Times New Roman" w:cs="Times New Roman"/>
          <w:b/>
          <w:bCs/>
          <w:iCs/>
        </w:rPr>
        <w:lastRenderedPageBreak/>
        <w:t>QUALIFICATIONS</w:t>
      </w:r>
    </w:p>
    <w:p w14:paraId="65A6D04F" w14:textId="2B00859C" w:rsidR="00D44F30" w:rsidRPr="00D44F30" w:rsidRDefault="00D44F30" w:rsidP="00D44F3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</w:rPr>
      </w:pPr>
      <w:r w:rsidRPr="00D44F30">
        <w:rPr>
          <w:rFonts w:ascii="Times New Roman" w:hAnsi="Times New Roman" w:cs="Times New Roman"/>
          <w:bCs/>
          <w:iCs/>
        </w:rPr>
        <w:t>A recognized and accredited audit firm with proven familiarity with international negotiations and processes under the UNFCCC.</w:t>
      </w:r>
    </w:p>
    <w:p w14:paraId="480CF9E9" w14:textId="46A949E5" w:rsidR="00D44F30" w:rsidRPr="00505AD1" w:rsidRDefault="00D44F30" w:rsidP="00505A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</w:rPr>
      </w:pPr>
      <w:r w:rsidRPr="00505AD1">
        <w:rPr>
          <w:rFonts w:ascii="Times New Roman" w:hAnsi="Times New Roman" w:cs="Times New Roman"/>
          <w:bCs/>
          <w:iCs/>
        </w:rPr>
        <w:t>Demonstrated experience working with government institutions and understanding interdepartmental financial procedures.</w:t>
      </w:r>
    </w:p>
    <w:p w14:paraId="028A19B6" w14:textId="77777777" w:rsidR="00D44F30" w:rsidRPr="00505AD1" w:rsidRDefault="00D44F30" w:rsidP="00505A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</w:rPr>
      </w:pPr>
      <w:r w:rsidRPr="00505AD1">
        <w:rPr>
          <w:rFonts w:ascii="Times New Roman" w:hAnsi="Times New Roman" w:cs="Times New Roman"/>
          <w:bCs/>
          <w:iCs/>
        </w:rPr>
        <w:t>Proficiency in the latest auditing methodologies and standards, including internationally accepted audit practices.</w:t>
      </w:r>
    </w:p>
    <w:p w14:paraId="54FFA0F8" w14:textId="7FFDA059" w:rsidR="00152AEA" w:rsidRPr="00505AD1" w:rsidRDefault="00D44F30" w:rsidP="00505A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iCs/>
        </w:rPr>
      </w:pPr>
      <w:r w:rsidRPr="00505AD1">
        <w:rPr>
          <w:rFonts w:ascii="Times New Roman" w:hAnsi="Times New Roman" w:cs="Times New Roman"/>
          <w:bCs/>
          <w:iCs/>
        </w:rPr>
        <w:t>Strong computer literacy, including effective use of word processing and financial management software.</w:t>
      </w:r>
    </w:p>
    <w:p w14:paraId="35050D4E" w14:textId="10A73E29" w:rsidR="001B68F5" w:rsidRPr="00505AD1" w:rsidRDefault="001B68F5" w:rsidP="00505AD1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</w:p>
    <w:p w14:paraId="659CA1BC" w14:textId="037184EC" w:rsidR="00152AEA" w:rsidRPr="001B68F5" w:rsidRDefault="00152AEA" w:rsidP="001B68F5">
      <w:pPr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1B68F5">
        <w:rPr>
          <w:rFonts w:ascii="Times New Roman" w:hAnsi="Times New Roman" w:cs="Times New Roman"/>
          <w:b/>
          <w:bCs/>
          <w:iCs/>
        </w:rPr>
        <w:t xml:space="preserve">EXPERIENCE </w:t>
      </w:r>
    </w:p>
    <w:p w14:paraId="44F5A155" w14:textId="1EA8F658" w:rsidR="00152AEA" w:rsidRDefault="00E34CB1" w:rsidP="00505AD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iCs/>
        </w:rPr>
      </w:pPr>
      <w:r w:rsidRPr="00505AD1">
        <w:rPr>
          <w:rFonts w:ascii="Times New Roman" w:hAnsi="Times New Roman" w:cs="Times New Roman"/>
          <w:bCs/>
          <w:iCs/>
        </w:rPr>
        <w:t xml:space="preserve">Five </w:t>
      </w:r>
      <w:r w:rsidR="00152AEA" w:rsidRPr="00505AD1">
        <w:rPr>
          <w:rFonts w:ascii="Times New Roman" w:hAnsi="Times New Roman" w:cs="Times New Roman"/>
          <w:bCs/>
          <w:iCs/>
        </w:rPr>
        <w:t xml:space="preserve">years </w:t>
      </w:r>
      <w:r w:rsidRPr="00505AD1">
        <w:rPr>
          <w:rFonts w:ascii="Times New Roman" w:hAnsi="Times New Roman" w:cs="Times New Roman"/>
          <w:bCs/>
          <w:iCs/>
        </w:rPr>
        <w:t xml:space="preserve">of auditing </w:t>
      </w:r>
      <w:r w:rsidR="00152AEA" w:rsidRPr="00505AD1">
        <w:rPr>
          <w:rFonts w:ascii="Times New Roman" w:hAnsi="Times New Roman" w:cs="Times New Roman"/>
          <w:bCs/>
          <w:iCs/>
        </w:rPr>
        <w:t>experience of which two (2) years must have been in Climate Change related activities.</w:t>
      </w:r>
    </w:p>
    <w:p w14:paraId="4C28DFD6" w14:textId="77777777" w:rsidR="00505AD1" w:rsidRPr="00505AD1" w:rsidRDefault="00505AD1" w:rsidP="00505AD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iCs/>
        </w:rPr>
      </w:pPr>
      <w:r w:rsidRPr="00505AD1">
        <w:rPr>
          <w:rFonts w:ascii="Times New Roman" w:hAnsi="Times New Roman" w:cs="Times New Roman"/>
          <w:bCs/>
          <w:iCs/>
        </w:rPr>
        <w:t>A minimum of five (5) years of professional auditing experience,</w:t>
      </w:r>
    </w:p>
    <w:p w14:paraId="34D091BF" w14:textId="19B02241" w:rsidR="00505AD1" w:rsidRPr="001B68F5" w:rsidRDefault="00505AD1" w:rsidP="00505AD1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14:paraId="1E3B1345" w14:textId="513E9964" w:rsidR="00152AEA" w:rsidRPr="001B68F5" w:rsidRDefault="00152AEA" w:rsidP="001B68F5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 w:rsidRPr="001B68F5">
        <w:rPr>
          <w:rFonts w:ascii="Times New Roman" w:hAnsi="Times New Roman" w:cs="Times New Roman"/>
          <w:b/>
          <w:bCs/>
          <w:iCs/>
        </w:rPr>
        <w:t xml:space="preserve">DURATION </w:t>
      </w:r>
    </w:p>
    <w:p w14:paraId="5B5F0C4A" w14:textId="775EE3A5" w:rsidR="00152AEA" w:rsidRPr="001B68F5" w:rsidRDefault="00152AEA" w:rsidP="001B68F5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 w:rsidRPr="001B68F5">
        <w:rPr>
          <w:rFonts w:ascii="Times New Roman" w:hAnsi="Times New Roman" w:cs="Times New Roman"/>
          <w:bCs/>
          <w:iCs/>
        </w:rPr>
        <w:t xml:space="preserve">The duration for this assignment </w:t>
      </w:r>
      <w:r w:rsidR="00505AD1">
        <w:rPr>
          <w:rFonts w:ascii="Times New Roman" w:hAnsi="Times New Roman" w:cs="Times New Roman"/>
          <w:bCs/>
          <w:iCs/>
        </w:rPr>
        <w:t>shall be</w:t>
      </w:r>
      <w:r w:rsidRPr="001B68F5">
        <w:rPr>
          <w:rFonts w:ascii="Times New Roman" w:hAnsi="Times New Roman" w:cs="Times New Roman"/>
          <w:bCs/>
          <w:iCs/>
        </w:rPr>
        <w:t xml:space="preserve"> t</w:t>
      </w:r>
      <w:r w:rsidR="0071648C">
        <w:rPr>
          <w:rFonts w:ascii="Times New Roman" w:hAnsi="Times New Roman" w:cs="Times New Roman"/>
          <w:bCs/>
          <w:iCs/>
        </w:rPr>
        <w:t>hree</w:t>
      </w:r>
      <w:r w:rsidR="001B68F5">
        <w:rPr>
          <w:rFonts w:ascii="Times New Roman" w:hAnsi="Times New Roman" w:cs="Times New Roman"/>
          <w:bCs/>
          <w:iCs/>
        </w:rPr>
        <w:t xml:space="preserve"> </w:t>
      </w:r>
      <w:r w:rsidRPr="001B68F5">
        <w:rPr>
          <w:rFonts w:ascii="Times New Roman" w:hAnsi="Times New Roman" w:cs="Times New Roman"/>
          <w:bCs/>
          <w:iCs/>
        </w:rPr>
        <w:t>(</w:t>
      </w:r>
      <w:r w:rsidR="0071648C">
        <w:rPr>
          <w:rFonts w:ascii="Times New Roman" w:hAnsi="Times New Roman" w:cs="Times New Roman"/>
          <w:bCs/>
          <w:iCs/>
        </w:rPr>
        <w:t>3</w:t>
      </w:r>
      <w:r w:rsidRPr="001B68F5">
        <w:rPr>
          <w:rFonts w:ascii="Times New Roman" w:hAnsi="Times New Roman" w:cs="Times New Roman"/>
          <w:bCs/>
          <w:iCs/>
        </w:rPr>
        <w:t>) months.</w:t>
      </w:r>
    </w:p>
    <w:p w14:paraId="6D7D3B1A" w14:textId="77777777" w:rsidR="0096206E" w:rsidRDefault="0096206E" w:rsidP="001B68F5">
      <w:pPr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619A7CFA" w14:textId="3E37607C" w:rsidR="00152AEA" w:rsidRPr="001B68F5" w:rsidRDefault="00152AEA" w:rsidP="001B68F5">
      <w:pPr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1B68F5">
        <w:rPr>
          <w:rFonts w:ascii="Times New Roman" w:hAnsi="Times New Roman" w:cs="Times New Roman"/>
          <w:b/>
          <w:bCs/>
          <w:iCs/>
        </w:rPr>
        <w:t>SUBMISSION OF APPLICATIONS</w:t>
      </w:r>
    </w:p>
    <w:p w14:paraId="7EB963B3" w14:textId="385F632E" w:rsidR="00152AEA" w:rsidRPr="001B68F5" w:rsidRDefault="00152AEA" w:rsidP="00D44F30">
      <w:pPr>
        <w:spacing w:line="360" w:lineRule="auto"/>
        <w:jc w:val="both"/>
        <w:rPr>
          <w:rFonts w:ascii="Times New Roman" w:hAnsi="Times New Roman" w:cs="Times New Roman"/>
          <w:bCs/>
          <w:iCs/>
        </w:rPr>
      </w:pPr>
      <w:r w:rsidRPr="001B68F5">
        <w:rPr>
          <w:rFonts w:ascii="Times New Roman" w:hAnsi="Times New Roman" w:cs="Times New Roman"/>
          <w:bCs/>
          <w:iCs/>
        </w:rPr>
        <w:t xml:space="preserve">Interested </w:t>
      </w:r>
      <w:r w:rsidR="00E34CB1">
        <w:rPr>
          <w:rFonts w:ascii="Times New Roman" w:hAnsi="Times New Roman" w:cs="Times New Roman"/>
          <w:bCs/>
          <w:iCs/>
        </w:rPr>
        <w:t>firms</w:t>
      </w:r>
      <w:r w:rsidRPr="001B68F5">
        <w:rPr>
          <w:rFonts w:ascii="Times New Roman" w:hAnsi="Times New Roman" w:cs="Times New Roman"/>
          <w:bCs/>
          <w:iCs/>
        </w:rPr>
        <w:t xml:space="preserve"> should send a one-page cover letter-expression of interest (EOI) indicating suitability for the post, as well as a CV to the Environmental Protection Agency</w:t>
      </w:r>
      <w:r w:rsidR="0071648C">
        <w:rPr>
          <w:rFonts w:ascii="Times New Roman" w:hAnsi="Times New Roman" w:cs="Times New Roman"/>
          <w:bCs/>
          <w:iCs/>
        </w:rPr>
        <w:t xml:space="preserve"> (EPA)</w:t>
      </w:r>
      <w:r w:rsidRPr="001B68F5">
        <w:rPr>
          <w:rFonts w:ascii="Times New Roman" w:hAnsi="Times New Roman" w:cs="Times New Roman"/>
          <w:bCs/>
          <w:iCs/>
        </w:rPr>
        <w:t>. All interested candidates are to address their letter of application and curriculum vitae to the below address on or befor</w:t>
      </w:r>
      <w:r w:rsidR="00E34CB1">
        <w:rPr>
          <w:rFonts w:ascii="Times New Roman" w:hAnsi="Times New Roman" w:cs="Times New Roman"/>
          <w:bCs/>
          <w:iCs/>
        </w:rPr>
        <w:t>e 2</w:t>
      </w:r>
      <w:r w:rsidR="00D44F30">
        <w:rPr>
          <w:rFonts w:ascii="Times New Roman" w:hAnsi="Times New Roman" w:cs="Times New Roman"/>
          <w:bCs/>
          <w:iCs/>
        </w:rPr>
        <w:t>8</w:t>
      </w:r>
      <w:r w:rsidR="00E34CB1" w:rsidRPr="00E34CB1">
        <w:rPr>
          <w:rFonts w:ascii="Times New Roman" w:hAnsi="Times New Roman" w:cs="Times New Roman"/>
          <w:bCs/>
          <w:iCs/>
          <w:vertAlign w:val="superscript"/>
        </w:rPr>
        <w:t>th</w:t>
      </w:r>
      <w:r w:rsidR="00E34CB1">
        <w:rPr>
          <w:rFonts w:ascii="Times New Roman" w:hAnsi="Times New Roman" w:cs="Times New Roman"/>
          <w:bCs/>
          <w:iCs/>
        </w:rPr>
        <w:t xml:space="preserve"> October </w:t>
      </w:r>
      <w:r w:rsidR="0029503B">
        <w:rPr>
          <w:rFonts w:ascii="Times New Roman" w:hAnsi="Times New Roman" w:cs="Times New Roman"/>
          <w:bCs/>
          <w:iCs/>
        </w:rPr>
        <w:t>20</w:t>
      </w:r>
      <w:r w:rsidR="0071648C">
        <w:rPr>
          <w:rFonts w:ascii="Times New Roman" w:hAnsi="Times New Roman" w:cs="Times New Roman"/>
          <w:bCs/>
          <w:iCs/>
        </w:rPr>
        <w:t>2</w:t>
      </w:r>
      <w:r w:rsidR="00194A4D">
        <w:rPr>
          <w:rFonts w:ascii="Times New Roman" w:hAnsi="Times New Roman" w:cs="Times New Roman"/>
          <w:bCs/>
          <w:iCs/>
        </w:rPr>
        <w:t>5</w:t>
      </w:r>
      <w:r w:rsidRPr="001B68F5">
        <w:rPr>
          <w:rFonts w:ascii="Times New Roman" w:hAnsi="Times New Roman" w:cs="Times New Roman"/>
          <w:bCs/>
          <w:iCs/>
        </w:rPr>
        <w:t>.</w:t>
      </w:r>
    </w:p>
    <w:p w14:paraId="2932C4E9" w14:textId="316A89ED" w:rsidR="00152AEA" w:rsidRPr="001B68F5" w:rsidRDefault="00152AEA" w:rsidP="00D44F30">
      <w:pPr>
        <w:spacing w:line="360" w:lineRule="auto"/>
        <w:jc w:val="both"/>
        <w:rPr>
          <w:rFonts w:ascii="Times New Roman" w:hAnsi="Times New Roman" w:cs="Times New Roman"/>
          <w:bCs/>
          <w:iCs/>
        </w:rPr>
      </w:pPr>
      <w:r w:rsidRPr="001B68F5">
        <w:rPr>
          <w:rFonts w:ascii="Times New Roman" w:hAnsi="Times New Roman" w:cs="Times New Roman"/>
          <w:bCs/>
          <w:iCs/>
        </w:rPr>
        <w:t xml:space="preserve">Interested </w:t>
      </w:r>
      <w:r w:rsidR="0096206E">
        <w:rPr>
          <w:rFonts w:ascii="Times New Roman" w:hAnsi="Times New Roman" w:cs="Times New Roman"/>
          <w:bCs/>
          <w:iCs/>
        </w:rPr>
        <w:t xml:space="preserve">firms </w:t>
      </w:r>
      <w:r w:rsidRPr="001B68F5">
        <w:rPr>
          <w:rFonts w:ascii="Times New Roman" w:hAnsi="Times New Roman" w:cs="Times New Roman"/>
          <w:bCs/>
          <w:iCs/>
        </w:rPr>
        <w:t>may obtain further information at the address below during office hours from 09:00 and 17:00hours, Mondays to Fridays.</w:t>
      </w:r>
    </w:p>
    <w:p w14:paraId="1BB8F44A" w14:textId="77777777" w:rsidR="00152AEA" w:rsidRPr="001B68F5" w:rsidRDefault="00152AEA" w:rsidP="001B68F5">
      <w:pPr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1B68F5">
        <w:rPr>
          <w:rFonts w:ascii="Times New Roman" w:hAnsi="Times New Roman" w:cs="Times New Roman"/>
          <w:b/>
          <w:bCs/>
          <w:iCs/>
        </w:rPr>
        <w:t>Attention:</w:t>
      </w:r>
    </w:p>
    <w:p w14:paraId="67CB4004" w14:textId="77777777" w:rsidR="0096206E" w:rsidRDefault="0096206E" w:rsidP="0096206E">
      <w:pPr>
        <w:spacing w:after="0" w:line="240" w:lineRule="auto"/>
        <w:rPr>
          <w:rFonts w:ascii="Times New Roman" w:hAnsi="Times New Roman" w:cs="Times New Roman"/>
        </w:rPr>
      </w:pPr>
      <w:r w:rsidRPr="0073559D">
        <w:rPr>
          <w:rFonts w:ascii="Times New Roman" w:hAnsi="Times New Roman" w:cs="Times New Roman"/>
        </w:rPr>
        <w:t>Mr. Pescee Doe</w:t>
      </w:r>
    </w:p>
    <w:p w14:paraId="7B63D827" w14:textId="77777777" w:rsidR="0096206E" w:rsidRPr="0073559D" w:rsidRDefault="0096206E" w:rsidP="0096206E">
      <w:pPr>
        <w:spacing w:after="0" w:line="240" w:lineRule="auto"/>
        <w:rPr>
          <w:rFonts w:ascii="Times New Roman" w:hAnsi="Times New Roman" w:cs="Times New Roman"/>
        </w:rPr>
      </w:pPr>
      <w:r w:rsidRPr="0073559D">
        <w:rPr>
          <w:rFonts w:ascii="Times New Roman" w:hAnsi="Times New Roman" w:cs="Times New Roman"/>
        </w:rPr>
        <w:t>Actg. Assistant Director</w:t>
      </w:r>
      <w:r>
        <w:rPr>
          <w:rFonts w:ascii="Times New Roman" w:hAnsi="Times New Roman" w:cs="Times New Roman"/>
        </w:rPr>
        <w:t xml:space="preserve"> / </w:t>
      </w:r>
      <w:r w:rsidRPr="0073559D">
        <w:rPr>
          <w:rFonts w:ascii="Times New Roman" w:hAnsi="Times New Roman" w:cs="Times New Roman"/>
        </w:rPr>
        <w:t>Procurement</w:t>
      </w:r>
    </w:p>
    <w:p w14:paraId="4068564A" w14:textId="77777777" w:rsidR="0096206E" w:rsidRPr="0073559D" w:rsidRDefault="0096206E" w:rsidP="0096206E">
      <w:pPr>
        <w:spacing w:after="0" w:line="240" w:lineRule="auto"/>
        <w:rPr>
          <w:rFonts w:ascii="Times New Roman" w:hAnsi="Times New Roman" w:cs="Times New Roman"/>
        </w:rPr>
      </w:pPr>
      <w:r w:rsidRPr="0073559D">
        <w:rPr>
          <w:rFonts w:ascii="Times New Roman" w:hAnsi="Times New Roman" w:cs="Times New Roman"/>
        </w:rPr>
        <w:t>Environmental Protection Agency (EPA)</w:t>
      </w:r>
      <w:r>
        <w:rPr>
          <w:rFonts w:ascii="Times New Roman" w:hAnsi="Times New Roman" w:cs="Times New Roman"/>
        </w:rPr>
        <w:t xml:space="preserve"> of Liberia</w:t>
      </w:r>
    </w:p>
    <w:p w14:paraId="7DC3341D" w14:textId="77777777" w:rsidR="0096206E" w:rsidRPr="0073559D" w:rsidRDefault="0096206E" w:rsidP="0096206E">
      <w:pPr>
        <w:spacing w:after="0" w:line="240" w:lineRule="auto"/>
        <w:rPr>
          <w:rFonts w:ascii="Times New Roman" w:hAnsi="Times New Roman" w:cs="Times New Roman"/>
        </w:rPr>
      </w:pPr>
      <w:r w:rsidRPr="0073559D">
        <w:rPr>
          <w:rFonts w:ascii="Times New Roman" w:hAnsi="Times New Roman" w:cs="Times New Roman"/>
        </w:rPr>
        <w:t>Bright’s Building, Sekou Toure Avenue, Mamba Point</w:t>
      </w:r>
    </w:p>
    <w:p w14:paraId="44B33791" w14:textId="77777777" w:rsidR="0096206E" w:rsidRPr="0073559D" w:rsidRDefault="0096206E" w:rsidP="0096206E">
      <w:pPr>
        <w:spacing w:after="0" w:line="240" w:lineRule="auto"/>
        <w:rPr>
          <w:rFonts w:ascii="Times New Roman" w:hAnsi="Times New Roman" w:cs="Times New Roman"/>
        </w:rPr>
      </w:pPr>
      <w:r w:rsidRPr="0073559D">
        <w:rPr>
          <w:rFonts w:ascii="Times New Roman" w:hAnsi="Times New Roman" w:cs="Times New Roman"/>
        </w:rPr>
        <w:t>1000 Monrovia, 10 Liberia</w:t>
      </w:r>
    </w:p>
    <w:p w14:paraId="2A679968" w14:textId="77777777" w:rsidR="0096206E" w:rsidRPr="0073559D" w:rsidRDefault="0096206E" w:rsidP="0096206E">
      <w:pPr>
        <w:spacing w:after="0" w:line="240" w:lineRule="auto"/>
        <w:rPr>
          <w:rFonts w:ascii="Times New Roman" w:hAnsi="Times New Roman" w:cs="Times New Roman"/>
        </w:rPr>
      </w:pPr>
      <w:r w:rsidRPr="0073559D">
        <w:rPr>
          <w:rFonts w:ascii="Times New Roman" w:hAnsi="Times New Roman" w:cs="Times New Roman"/>
        </w:rPr>
        <w:t>Email: ptdoe@epa.gov.lr/ pesc82.doe@gmail.com</w:t>
      </w:r>
    </w:p>
    <w:p w14:paraId="6374FB8D" w14:textId="77777777" w:rsidR="0096206E" w:rsidRDefault="0096206E" w:rsidP="0096206E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73559D">
        <w:rPr>
          <w:rFonts w:ascii="Times New Roman" w:hAnsi="Times New Roman" w:cs="Times New Roman"/>
        </w:rPr>
        <w:t xml:space="preserve">cc: abecker@epa.gov.lr </w:t>
      </w:r>
      <w:r>
        <w:rPr>
          <w:rFonts w:ascii="Times New Roman" w:hAnsi="Times New Roman" w:cs="Times New Roman"/>
        </w:rPr>
        <w:t>&amp;</w:t>
      </w:r>
      <w:r w:rsidRPr="0073559D">
        <w:rPr>
          <w:rFonts w:ascii="Times New Roman" w:hAnsi="Times New Roman" w:cs="Times New Roman"/>
        </w:rPr>
        <w:t xml:space="preserve"> bkarmorh@epa.gov.lr</w:t>
      </w:r>
    </w:p>
    <w:p w14:paraId="69A2CA97" w14:textId="4270431B" w:rsidR="00556F36" w:rsidRPr="007E154E" w:rsidRDefault="00556F36" w:rsidP="0096206E">
      <w:pPr>
        <w:pStyle w:val="NoSpacing"/>
        <w:jc w:val="both"/>
        <w:rPr>
          <w:rFonts w:ascii="Times New Roman" w:hAnsi="Times New Roman" w:cs="Times New Roman"/>
          <w:lang w:val="de-DE"/>
        </w:rPr>
      </w:pPr>
    </w:p>
    <w:sectPr w:rsidR="00556F36" w:rsidRPr="007E154E" w:rsidSect="004E3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1F43"/>
    <w:multiLevelType w:val="hybridMultilevel"/>
    <w:tmpl w:val="EFEA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373C"/>
    <w:multiLevelType w:val="hybridMultilevel"/>
    <w:tmpl w:val="93CEDFB4"/>
    <w:lvl w:ilvl="0" w:tplc="A90A6F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EAEA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2682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046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3419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1AD0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CA2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C490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0CD4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7BE7"/>
    <w:multiLevelType w:val="hybridMultilevel"/>
    <w:tmpl w:val="20141B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21D1C"/>
    <w:multiLevelType w:val="hybridMultilevel"/>
    <w:tmpl w:val="D7B61FCC"/>
    <w:lvl w:ilvl="0" w:tplc="4C3C10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96915"/>
    <w:multiLevelType w:val="hybridMultilevel"/>
    <w:tmpl w:val="330A9378"/>
    <w:lvl w:ilvl="0" w:tplc="4C3C10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04CA2"/>
    <w:multiLevelType w:val="hybridMultilevel"/>
    <w:tmpl w:val="0B007964"/>
    <w:lvl w:ilvl="0" w:tplc="F73A10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31846">
    <w:abstractNumId w:val="3"/>
  </w:num>
  <w:num w:numId="2" w16cid:durableId="2134472779">
    <w:abstractNumId w:val="1"/>
  </w:num>
  <w:num w:numId="3" w16cid:durableId="2061467407">
    <w:abstractNumId w:val="0"/>
  </w:num>
  <w:num w:numId="4" w16cid:durableId="721253006">
    <w:abstractNumId w:val="2"/>
  </w:num>
  <w:num w:numId="5" w16cid:durableId="1878424263">
    <w:abstractNumId w:val="5"/>
  </w:num>
  <w:num w:numId="6" w16cid:durableId="375811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B8"/>
    <w:rsid w:val="0006437F"/>
    <w:rsid w:val="001011CD"/>
    <w:rsid w:val="001058DD"/>
    <w:rsid w:val="00105F32"/>
    <w:rsid w:val="00137E5A"/>
    <w:rsid w:val="00152AEA"/>
    <w:rsid w:val="00157CD6"/>
    <w:rsid w:val="00194A4D"/>
    <w:rsid w:val="001B49C5"/>
    <w:rsid w:val="001B68F5"/>
    <w:rsid w:val="001C3B7F"/>
    <w:rsid w:val="001E471F"/>
    <w:rsid w:val="00213883"/>
    <w:rsid w:val="00225B5F"/>
    <w:rsid w:val="0029503B"/>
    <w:rsid w:val="002A0383"/>
    <w:rsid w:val="002C08BC"/>
    <w:rsid w:val="003261FE"/>
    <w:rsid w:val="00384763"/>
    <w:rsid w:val="0039765F"/>
    <w:rsid w:val="003B4657"/>
    <w:rsid w:val="003D3723"/>
    <w:rsid w:val="003E6DBC"/>
    <w:rsid w:val="003F28B8"/>
    <w:rsid w:val="00403D17"/>
    <w:rsid w:val="004704C6"/>
    <w:rsid w:val="004919C1"/>
    <w:rsid w:val="004A0962"/>
    <w:rsid w:val="004D3406"/>
    <w:rsid w:val="00502EE0"/>
    <w:rsid w:val="00505AD1"/>
    <w:rsid w:val="00517189"/>
    <w:rsid w:val="00556F36"/>
    <w:rsid w:val="005639FF"/>
    <w:rsid w:val="00585C43"/>
    <w:rsid w:val="005A18D2"/>
    <w:rsid w:val="005B31F4"/>
    <w:rsid w:val="005D3760"/>
    <w:rsid w:val="00605AFB"/>
    <w:rsid w:val="00615EC1"/>
    <w:rsid w:val="006228E6"/>
    <w:rsid w:val="00664E0F"/>
    <w:rsid w:val="006C47AF"/>
    <w:rsid w:val="006D0C97"/>
    <w:rsid w:val="0071648C"/>
    <w:rsid w:val="00737212"/>
    <w:rsid w:val="00791205"/>
    <w:rsid w:val="007C1A66"/>
    <w:rsid w:val="007E154E"/>
    <w:rsid w:val="007F3079"/>
    <w:rsid w:val="00805FF6"/>
    <w:rsid w:val="00847A95"/>
    <w:rsid w:val="008560F0"/>
    <w:rsid w:val="00886107"/>
    <w:rsid w:val="00887938"/>
    <w:rsid w:val="008D585F"/>
    <w:rsid w:val="008D6F6F"/>
    <w:rsid w:val="00902A9A"/>
    <w:rsid w:val="0096206E"/>
    <w:rsid w:val="009B6C7E"/>
    <w:rsid w:val="009C4C07"/>
    <w:rsid w:val="009E386C"/>
    <w:rsid w:val="00A40B1D"/>
    <w:rsid w:val="00A5200C"/>
    <w:rsid w:val="00A93FF7"/>
    <w:rsid w:val="00AC227D"/>
    <w:rsid w:val="00B20AF2"/>
    <w:rsid w:val="00B57765"/>
    <w:rsid w:val="00BC2921"/>
    <w:rsid w:val="00BD38CF"/>
    <w:rsid w:val="00BD612C"/>
    <w:rsid w:val="00C026C0"/>
    <w:rsid w:val="00C07E6C"/>
    <w:rsid w:val="00C11D04"/>
    <w:rsid w:val="00C24A50"/>
    <w:rsid w:val="00C82142"/>
    <w:rsid w:val="00D1413C"/>
    <w:rsid w:val="00D177F1"/>
    <w:rsid w:val="00D25D3A"/>
    <w:rsid w:val="00D31C9A"/>
    <w:rsid w:val="00D44F30"/>
    <w:rsid w:val="00D52DAF"/>
    <w:rsid w:val="00DA0C8B"/>
    <w:rsid w:val="00DF0AAF"/>
    <w:rsid w:val="00E34CB1"/>
    <w:rsid w:val="00E445E0"/>
    <w:rsid w:val="00E6189B"/>
    <w:rsid w:val="00E758C3"/>
    <w:rsid w:val="00EE7435"/>
    <w:rsid w:val="00EF0F56"/>
    <w:rsid w:val="00EF625A"/>
    <w:rsid w:val="00F5741D"/>
    <w:rsid w:val="00F7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6850C"/>
  <w15:docId w15:val="{B126D32D-ED45-41E3-88AD-FFE97E4B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F28B8"/>
    <w:pPr>
      <w:spacing w:after="0" w:line="240" w:lineRule="auto"/>
    </w:pPr>
  </w:style>
  <w:style w:type="table" w:styleId="TableGrid">
    <w:name w:val="Table Grid"/>
    <w:basedOn w:val="TableNormal"/>
    <w:uiPriority w:val="59"/>
    <w:rsid w:val="003F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8B8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EF625A"/>
  </w:style>
  <w:style w:type="paragraph" w:styleId="NormalWeb">
    <w:name w:val="Normal (Web)"/>
    <w:basedOn w:val="Normal"/>
    <w:uiPriority w:val="99"/>
    <w:unhideWhenUsed/>
    <w:rsid w:val="00152AEA"/>
    <w:rPr>
      <w:rFonts w:ascii="Times New Roman" w:hAnsi="Times New Roman" w:cs="Times New Roman"/>
      <w:sz w:val="24"/>
      <w:szCs w:val="24"/>
    </w:rPr>
  </w:style>
  <w:style w:type="paragraph" w:customStyle="1" w:styleId="BodyText2006GL">
    <w:name w:val="Body Text 2006GL"/>
    <w:basedOn w:val="Normal"/>
    <w:rsid w:val="001B68F5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 PC</dc:creator>
  <cp:lastModifiedBy>user</cp:lastModifiedBy>
  <cp:revision>2</cp:revision>
  <cp:lastPrinted>2019-10-03T09:01:00Z</cp:lastPrinted>
  <dcterms:created xsi:type="dcterms:W3CDTF">2025-10-16T10:25:00Z</dcterms:created>
  <dcterms:modified xsi:type="dcterms:W3CDTF">2025-10-16T10:25:00Z</dcterms:modified>
</cp:coreProperties>
</file>