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07616389"/>
    <w:p w14:paraId="61A107E1" w14:textId="77777777" w:rsidR="00442A3B" w:rsidRPr="00863FD7" w:rsidRDefault="00442A3B" w:rsidP="002A564A">
      <w:pPr>
        <w:rPr>
          <w:b/>
          <w:bCs/>
        </w:rPr>
      </w:pPr>
      <w:r w:rsidRPr="00863FD7">
        <w:rPr>
          <w:rFonts w:eastAsiaTheme="majorEastAsia"/>
          <w:noProof/>
        </w:rPr>
        <mc:AlternateContent>
          <mc:Choice Requires="wps">
            <w:drawing>
              <wp:anchor distT="0" distB="0" distL="114300" distR="114300" simplePos="0" relativeHeight="251659264" behindDoc="0" locked="0" layoutInCell="1" allowOverlap="1" wp14:anchorId="48E62113" wp14:editId="3F8FBFED">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2D6DA007" w14:textId="77777777" w:rsidR="00442A3B" w:rsidRPr="00944808" w:rsidRDefault="00442A3B" w:rsidP="00442A3B">
                            <w:r w:rsidRPr="00944808">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48E62113" id="_x0000_t202" coordsize="21600,21600" o:spt="202" path="m,l,21600r21600,l21600,xe">
                <v:stroke joinstyle="miter"/>
                <v:path gradientshapeok="t" o:connecttype="rect"/>
              </v:shapetype>
              <v:shape id="Text Box 3" o:spid="_x0000_s1026" type="#_x0000_t202" style="position:absolute;margin-left:-9948.1pt;margin-top:-79965.35pt;width:389.9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u4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" filled="f" stroked="f" strokeweight=".5pt">
                <v:textbox>
                  <w:txbxContent>
                    <w:p w14:paraId="2D6DA007" w14:textId="77777777" w:rsidR="00442A3B" w:rsidRPr="00944808" w:rsidRDefault="00442A3B" w:rsidP="00442A3B">
                      <w:r w:rsidRPr="00944808">
                        <w:rPr>
                          <w:rFonts w:eastAsia="Calibri"/>
                        </w:rPr>
                        <w:t>Strengthening Institutional Capacity for Climate Change Adaptation Planning</w:t>
                      </w:r>
                    </w:p>
                  </w:txbxContent>
                </v:textbox>
              </v:shape>
            </w:pict>
          </mc:Fallback>
        </mc:AlternateContent>
      </w:r>
    </w:p>
    <w:p w14:paraId="79B82CAF" w14:textId="77777777" w:rsidR="00442A3B" w:rsidRPr="00863FD7" w:rsidRDefault="00442A3B" w:rsidP="00442A3B">
      <w:pPr>
        <w:pStyle w:val="ListParagraph"/>
        <w:ind w:left="1080"/>
        <w:rPr>
          <w:b/>
          <w:bCs/>
        </w:rPr>
      </w:pPr>
    </w:p>
    <w:p w14:paraId="29972FA2" w14:textId="443FDFB5" w:rsidR="00442A3B" w:rsidRPr="00863FD7" w:rsidRDefault="00442A3B" w:rsidP="00AC6769">
      <w:pPr>
        <w:pStyle w:val="ListParagraph"/>
        <w:numPr>
          <w:ilvl w:val="0"/>
          <w:numId w:val="19"/>
        </w:numPr>
        <w:rPr>
          <w:b/>
          <w:bCs/>
        </w:rPr>
      </w:pPr>
      <w:r w:rsidRPr="00863FD7">
        <w:rPr>
          <w:b/>
          <w:bCs/>
        </w:rPr>
        <w:t>CONSULTANCY SUMMARY</w:t>
      </w:r>
    </w:p>
    <w:tbl>
      <w:tblPr>
        <w:tblStyle w:val="TableGrid"/>
        <w:tblW w:w="10350" w:type="dxa"/>
        <w:tblInd w:w="-365" w:type="dxa"/>
        <w:tblLook w:val="04A0" w:firstRow="1" w:lastRow="0" w:firstColumn="1" w:lastColumn="0" w:noHBand="0" w:noVBand="1"/>
      </w:tblPr>
      <w:tblGrid>
        <w:gridCol w:w="1260"/>
        <w:gridCol w:w="2970"/>
        <w:gridCol w:w="3690"/>
        <w:gridCol w:w="2430"/>
      </w:tblGrid>
      <w:tr w:rsidR="00442A3B" w:rsidRPr="00863FD7" w14:paraId="4EFE79C0" w14:textId="77777777" w:rsidTr="00565CD2">
        <w:tc>
          <w:tcPr>
            <w:tcW w:w="4230" w:type="dxa"/>
            <w:gridSpan w:val="2"/>
            <w:vAlign w:val="center"/>
          </w:tcPr>
          <w:p w14:paraId="280B2FA5" w14:textId="77777777" w:rsidR="00442A3B" w:rsidRPr="00863FD7" w:rsidRDefault="00442A3B" w:rsidP="00EE5D82">
            <w:r w:rsidRPr="00863FD7">
              <w:t xml:space="preserve">Job Title </w:t>
            </w:r>
          </w:p>
        </w:tc>
        <w:tc>
          <w:tcPr>
            <w:tcW w:w="6120" w:type="dxa"/>
            <w:gridSpan w:val="2"/>
            <w:vAlign w:val="center"/>
          </w:tcPr>
          <w:p w14:paraId="502FA5F5" w14:textId="561D88F0" w:rsidR="00442A3B" w:rsidRPr="00863FD7" w:rsidRDefault="00903133" w:rsidP="00EE5D82">
            <w:pPr>
              <w:rPr>
                <w:b/>
              </w:rPr>
            </w:pPr>
            <w:r w:rsidRPr="00863FD7">
              <w:rPr>
                <w:b/>
              </w:rPr>
              <w:t xml:space="preserve">National </w:t>
            </w:r>
            <w:r w:rsidR="00EC5D66" w:rsidRPr="00863FD7">
              <w:rPr>
                <w:b/>
              </w:rPr>
              <w:t xml:space="preserve">Consultant, </w:t>
            </w:r>
            <w:r w:rsidR="00B05BAB" w:rsidRPr="00863FD7">
              <w:rPr>
                <w:b/>
              </w:rPr>
              <w:t>Inclusive Finance Specialist</w:t>
            </w:r>
          </w:p>
        </w:tc>
      </w:tr>
      <w:tr w:rsidR="00442A3B" w:rsidRPr="00863FD7" w14:paraId="776CAEEB" w14:textId="77777777" w:rsidTr="00565CD2">
        <w:tc>
          <w:tcPr>
            <w:tcW w:w="4230" w:type="dxa"/>
            <w:gridSpan w:val="2"/>
            <w:vAlign w:val="center"/>
          </w:tcPr>
          <w:p w14:paraId="13919B1C" w14:textId="77777777" w:rsidR="00442A3B" w:rsidRPr="00863FD7" w:rsidRDefault="00442A3B" w:rsidP="00EE5D82">
            <w:r w:rsidRPr="00863FD7">
              <w:t>Division/Department</w:t>
            </w:r>
          </w:p>
        </w:tc>
        <w:tc>
          <w:tcPr>
            <w:tcW w:w="6120" w:type="dxa"/>
            <w:gridSpan w:val="2"/>
            <w:vAlign w:val="center"/>
          </w:tcPr>
          <w:p w14:paraId="53F84B46" w14:textId="77777777" w:rsidR="00442A3B" w:rsidRPr="00863FD7" w:rsidRDefault="00442A3B" w:rsidP="00EE5D82">
            <w:r w:rsidRPr="00863FD7">
              <w:t>Project: Enhancing the Resilience of Vulnerable Coastal Communities in Sinoe County, Liberia (ERVCCS)</w:t>
            </w:r>
          </w:p>
        </w:tc>
      </w:tr>
      <w:tr w:rsidR="00442A3B" w:rsidRPr="00863FD7" w14:paraId="54A70587" w14:textId="77777777" w:rsidTr="00565CD2">
        <w:tc>
          <w:tcPr>
            <w:tcW w:w="4230" w:type="dxa"/>
            <w:gridSpan w:val="2"/>
            <w:vAlign w:val="center"/>
          </w:tcPr>
          <w:p w14:paraId="1F7F5C31" w14:textId="77777777" w:rsidR="00442A3B" w:rsidRPr="00863FD7" w:rsidRDefault="00442A3B" w:rsidP="00EE5D82">
            <w:r w:rsidRPr="00863FD7">
              <w:t>Program/Project Number/</w:t>
            </w:r>
            <w:r w:rsidRPr="00863FD7">
              <w:rPr>
                <w:b/>
                <w:lang w:val="en-GB"/>
              </w:rPr>
              <w:t xml:space="preserve"> GEF Project ID number</w:t>
            </w:r>
          </w:p>
        </w:tc>
        <w:tc>
          <w:tcPr>
            <w:tcW w:w="6120" w:type="dxa"/>
            <w:gridSpan w:val="2"/>
            <w:vAlign w:val="center"/>
          </w:tcPr>
          <w:p w14:paraId="74009026" w14:textId="33F1138C" w:rsidR="00442A3B" w:rsidRPr="00863FD7" w:rsidRDefault="00A746D8" w:rsidP="00EE5D82">
            <w:r w:rsidRPr="00863FD7">
              <w:t>10376</w:t>
            </w:r>
          </w:p>
        </w:tc>
      </w:tr>
      <w:tr w:rsidR="00A746D8" w:rsidRPr="00863FD7" w14:paraId="14A4421B" w14:textId="77777777" w:rsidTr="008310E5">
        <w:trPr>
          <w:trHeight w:val="2177"/>
        </w:trPr>
        <w:tc>
          <w:tcPr>
            <w:tcW w:w="4230" w:type="dxa"/>
            <w:gridSpan w:val="2"/>
            <w:vAlign w:val="center"/>
          </w:tcPr>
          <w:p w14:paraId="268BF279" w14:textId="77777777" w:rsidR="00A746D8" w:rsidRPr="00863FD7" w:rsidRDefault="00A746D8" w:rsidP="00A746D8">
            <w:r w:rsidRPr="00863FD7">
              <w:rPr>
                <w:rFonts w:eastAsia="Calibri"/>
              </w:rPr>
              <w:t>Activity Result</w:t>
            </w:r>
          </w:p>
        </w:tc>
        <w:tc>
          <w:tcPr>
            <w:tcW w:w="6120" w:type="dxa"/>
            <w:gridSpan w:val="2"/>
            <w:vAlign w:val="center"/>
          </w:tcPr>
          <w:p w14:paraId="40A55669" w14:textId="79C6730A" w:rsidR="00833960" w:rsidRPr="00863FD7" w:rsidRDefault="00106C0F" w:rsidP="00A746D8">
            <w:pPr>
              <w:numPr>
                <w:ilvl w:val="0"/>
                <w:numId w:val="29"/>
              </w:numPr>
              <w:spacing w:before="100" w:beforeAutospacing="1" w:after="100" w:afterAutospacing="1"/>
            </w:pPr>
            <w:r w:rsidRPr="00863FD7">
              <w:t>Carry out</w:t>
            </w:r>
            <w:r w:rsidR="00833960" w:rsidRPr="00863FD7">
              <w:t xml:space="preserve"> two market studies </w:t>
            </w:r>
            <w:r w:rsidR="003D42C3" w:rsidRPr="00863FD7">
              <w:t>i</w:t>
            </w:r>
            <w:r w:rsidR="00833960" w:rsidRPr="00863FD7">
              <w:t>n the target communities</w:t>
            </w:r>
          </w:p>
          <w:p w14:paraId="1B40656E" w14:textId="5A512706" w:rsidR="00A746D8" w:rsidRPr="00863FD7" w:rsidRDefault="00833960" w:rsidP="00A746D8">
            <w:pPr>
              <w:numPr>
                <w:ilvl w:val="0"/>
                <w:numId w:val="29"/>
              </w:numPr>
              <w:spacing w:before="100" w:beforeAutospacing="1" w:after="100" w:afterAutospacing="1"/>
            </w:pPr>
            <w:r w:rsidRPr="00863FD7">
              <w:t xml:space="preserve">Report and </w:t>
            </w:r>
            <w:r w:rsidR="00106C0F" w:rsidRPr="00863FD7">
              <w:t>describe</w:t>
            </w:r>
            <w:r w:rsidRPr="00863FD7">
              <w:t xml:space="preserve"> the recommended climate-resilient financial products.</w:t>
            </w:r>
          </w:p>
          <w:p w14:paraId="664C3543" w14:textId="728496BB" w:rsidR="008310E5" w:rsidRPr="00863FD7" w:rsidRDefault="003D42C3" w:rsidP="008310E5">
            <w:pPr>
              <w:numPr>
                <w:ilvl w:val="0"/>
                <w:numId w:val="29"/>
              </w:numPr>
              <w:spacing w:before="100" w:beforeAutospacing="1" w:after="100" w:afterAutospacing="1"/>
            </w:pPr>
            <w:r w:rsidRPr="00863FD7">
              <w:t>Outlin</w:t>
            </w:r>
            <w:r w:rsidR="008310E5" w:rsidRPr="00863FD7">
              <w:t>e</w:t>
            </w:r>
            <w:r w:rsidRPr="00863FD7">
              <w:t xml:space="preserve"> existing financing, required climate-responsive financial products, and potential market demand</w:t>
            </w:r>
            <w:r w:rsidR="00106C0F" w:rsidRPr="00863FD7">
              <w:t>,</w:t>
            </w:r>
            <w:r w:rsidRPr="00863FD7">
              <w:t xml:space="preserve"> including community-specific business cases, cash-flow analyses</w:t>
            </w:r>
            <w:r w:rsidR="00106C0F" w:rsidRPr="00863FD7">
              <w:t>,</w:t>
            </w:r>
            <w:r w:rsidRPr="00863FD7">
              <w:t xml:space="preserve"> and rate of returns</w:t>
            </w:r>
          </w:p>
        </w:tc>
      </w:tr>
      <w:tr w:rsidR="00A746D8" w:rsidRPr="00863FD7" w14:paraId="1093C78F" w14:textId="77777777" w:rsidTr="004B64D1">
        <w:trPr>
          <w:trHeight w:val="737"/>
        </w:trPr>
        <w:tc>
          <w:tcPr>
            <w:tcW w:w="4230" w:type="dxa"/>
            <w:gridSpan w:val="2"/>
            <w:vAlign w:val="center"/>
          </w:tcPr>
          <w:p w14:paraId="7C88B576" w14:textId="77777777" w:rsidR="00A746D8" w:rsidRPr="00863FD7" w:rsidRDefault="00A746D8" w:rsidP="00A746D8">
            <w:r w:rsidRPr="00863FD7">
              <w:rPr>
                <w:rFonts w:eastAsia="Calibri"/>
              </w:rPr>
              <w:t>Assignment</w:t>
            </w:r>
          </w:p>
        </w:tc>
        <w:tc>
          <w:tcPr>
            <w:tcW w:w="6120" w:type="dxa"/>
            <w:gridSpan w:val="2"/>
            <w:vAlign w:val="center"/>
          </w:tcPr>
          <w:p w14:paraId="4068D3D7" w14:textId="3DD840A9" w:rsidR="00A746D8" w:rsidRPr="00863FD7" w:rsidRDefault="00833960" w:rsidP="008C7CEF">
            <w:pPr>
              <w:numPr>
                <w:ilvl w:val="0"/>
                <w:numId w:val="43"/>
              </w:numPr>
              <w:rPr>
                <w:lang w:val="en-GB"/>
              </w:rPr>
            </w:pPr>
            <w:r w:rsidRPr="00863FD7">
              <w:rPr>
                <w:lang w:val="en-GB"/>
              </w:rPr>
              <w:t>Undertake market studies of the target communities</w:t>
            </w:r>
          </w:p>
        </w:tc>
      </w:tr>
      <w:tr w:rsidR="00442A3B" w:rsidRPr="00863FD7" w14:paraId="5C23FFDD" w14:textId="77777777" w:rsidTr="00565CD2">
        <w:tc>
          <w:tcPr>
            <w:tcW w:w="4230" w:type="dxa"/>
            <w:gridSpan w:val="2"/>
            <w:vAlign w:val="center"/>
          </w:tcPr>
          <w:p w14:paraId="105B745F" w14:textId="77777777" w:rsidR="00442A3B" w:rsidRPr="00863FD7" w:rsidRDefault="00442A3B" w:rsidP="00EE5D82">
            <w:pPr>
              <w:rPr>
                <w:rFonts w:eastAsia="Calibri"/>
              </w:rPr>
            </w:pPr>
            <w:r w:rsidRPr="00863FD7">
              <w:t>Location</w:t>
            </w:r>
          </w:p>
        </w:tc>
        <w:tc>
          <w:tcPr>
            <w:tcW w:w="6120" w:type="dxa"/>
            <w:gridSpan w:val="2"/>
            <w:vAlign w:val="center"/>
          </w:tcPr>
          <w:p w14:paraId="1F8C1590" w14:textId="2990718F" w:rsidR="00442A3B" w:rsidRPr="00863FD7" w:rsidRDefault="00442A3B" w:rsidP="00EE5D82">
            <w:r w:rsidRPr="00863FD7">
              <w:t xml:space="preserve"> </w:t>
            </w:r>
            <w:r w:rsidR="00771C60" w:rsidRPr="00863FD7">
              <w:t>Grand Cape Mount</w:t>
            </w:r>
            <w:r w:rsidR="009654E8" w:rsidRPr="00863FD7">
              <w:t xml:space="preserve"> </w:t>
            </w:r>
            <w:r w:rsidRPr="00863FD7">
              <w:t>County</w:t>
            </w:r>
            <w:r w:rsidR="009654E8" w:rsidRPr="00863FD7">
              <w:t xml:space="preserve"> (Down-town and Kru-town)</w:t>
            </w:r>
          </w:p>
        </w:tc>
      </w:tr>
      <w:tr w:rsidR="00442A3B" w:rsidRPr="00863FD7" w14:paraId="162C9909" w14:textId="77777777" w:rsidTr="00565CD2">
        <w:tc>
          <w:tcPr>
            <w:tcW w:w="1260" w:type="dxa"/>
            <w:vAlign w:val="center"/>
          </w:tcPr>
          <w:p w14:paraId="6C1BB738" w14:textId="77777777" w:rsidR="00442A3B" w:rsidRPr="00863FD7" w:rsidRDefault="00442A3B" w:rsidP="00EE5D82">
            <w:r w:rsidRPr="00863FD7">
              <w:t>Reports to</w:t>
            </w:r>
          </w:p>
        </w:tc>
        <w:tc>
          <w:tcPr>
            <w:tcW w:w="2970" w:type="dxa"/>
            <w:vAlign w:val="center"/>
          </w:tcPr>
          <w:p w14:paraId="7E50DBCC" w14:textId="77777777" w:rsidR="00442A3B" w:rsidRPr="00863FD7" w:rsidRDefault="00442A3B" w:rsidP="00EE5D82">
            <w:r w:rsidRPr="00863FD7">
              <w:t>ERVCCS Project Manager under the supervision of the Energy &amp; Environment (E&amp;E) Coordinator</w:t>
            </w:r>
          </w:p>
        </w:tc>
        <w:tc>
          <w:tcPr>
            <w:tcW w:w="3690" w:type="dxa"/>
            <w:vAlign w:val="center"/>
          </w:tcPr>
          <w:p w14:paraId="7F0D1612" w14:textId="11B08B51" w:rsidR="00442A3B" w:rsidRPr="00863FD7" w:rsidRDefault="00442A3B" w:rsidP="00EE5D82">
            <w:r w:rsidRPr="00863FD7">
              <w:t>Consultancy Duration</w:t>
            </w:r>
          </w:p>
        </w:tc>
        <w:tc>
          <w:tcPr>
            <w:tcW w:w="2430" w:type="dxa"/>
            <w:vAlign w:val="center"/>
          </w:tcPr>
          <w:p w14:paraId="34149F36" w14:textId="090345E2" w:rsidR="00442A3B" w:rsidRPr="00863FD7" w:rsidRDefault="00771C60" w:rsidP="00EE5D82">
            <w:pPr>
              <w:rPr>
                <w:b/>
              </w:rPr>
            </w:pPr>
            <w:r w:rsidRPr="00863FD7">
              <w:rPr>
                <w:b/>
              </w:rPr>
              <w:t>4</w:t>
            </w:r>
            <w:r w:rsidR="00A746D8" w:rsidRPr="00863FD7">
              <w:rPr>
                <w:b/>
              </w:rPr>
              <w:t>0 days</w:t>
            </w:r>
            <w:r w:rsidR="008C7CEF" w:rsidRPr="00863FD7">
              <w:rPr>
                <w:b/>
              </w:rPr>
              <w:t xml:space="preserve"> over the period of three (3) months</w:t>
            </w:r>
          </w:p>
        </w:tc>
      </w:tr>
    </w:tbl>
    <w:p w14:paraId="47F7AD82" w14:textId="77777777" w:rsidR="00442A3B" w:rsidRPr="00863FD7" w:rsidRDefault="00442A3B" w:rsidP="00442A3B"/>
    <w:p w14:paraId="03C839C2" w14:textId="77777777" w:rsidR="00442A3B" w:rsidRPr="00863FD7" w:rsidRDefault="00442A3B" w:rsidP="00442A3B">
      <w:pPr>
        <w:pStyle w:val="ListParagraph"/>
        <w:numPr>
          <w:ilvl w:val="0"/>
          <w:numId w:val="1"/>
        </w:numPr>
        <w:rPr>
          <w:b/>
          <w:bCs/>
        </w:rPr>
      </w:pPr>
      <w:r w:rsidRPr="00863FD7">
        <w:rPr>
          <w:b/>
          <w:bCs/>
        </w:rPr>
        <w:t>PROJECT BACKGROUND</w:t>
      </w:r>
    </w:p>
    <w:tbl>
      <w:tblPr>
        <w:tblStyle w:val="TableGrid"/>
        <w:tblW w:w="10350" w:type="dxa"/>
        <w:tblInd w:w="-365" w:type="dxa"/>
        <w:tblLook w:val="04A0" w:firstRow="1" w:lastRow="0" w:firstColumn="1" w:lastColumn="0" w:noHBand="0" w:noVBand="1"/>
      </w:tblPr>
      <w:tblGrid>
        <w:gridCol w:w="10350"/>
      </w:tblGrid>
      <w:tr w:rsidR="00442A3B" w:rsidRPr="00863FD7" w14:paraId="1E050CA3" w14:textId="77777777" w:rsidTr="00EE5D82">
        <w:tc>
          <w:tcPr>
            <w:tcW w:w="10350" w:type="dxa"/>
          </w:tcPr>
          <w:p w14:paraId="335C7FAD" w14:textId="77777777" w:rsidR="00442A3B" w:rsidRPr="00863FD7" w:rsidRDefault="00442A3B" w:rsidP="00EE5D82">
            <w:pPr>
              <w:spacing w:line="276" w:lineRule="auto"/>
              <w:jc w:val="both"/>
              <w:rPr>
                <w:rFonts w:eastAsia="Calibri"/>
                <w:lang w:val="en-ZA"/>
              </w:rPr>
            </w:pPr>
            <w:r w:rsidRPr="00863FD7">
              <w:rPr>
                <w:rFonts w:eastAsia="Calibri"/>
                <w:lang w:val="en-ZA"/>
              </w:rPr>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7E9ACC29" w14:textId="77777777" w:rsidR="00442A3B" w:rsidRPr="00863FD7" w:rsidRDefault="00442A3B" w:rsidP="00EE5D82">
            <w:pPr>
              <w:spacing w:line="276" w:lineRule="auto"/>
              <w:jc w:val="both"/>
              <w:rPr>
                <w:rFonts w:eastAsia="Calibri"/>
              </w:rPr>
            </w:pPr>
          </w:p>
          <w:p w14:paraId="13974991" w14:textId="77777777" w:rsidR="00442A3B" w:rsidRPr="00863FD7" w:rsidRDefault="00442A3B" w:rsidP="00EE5D82">
            <w:pPr>
              <w:spacing w:line="276" w:lineRule="auto"/>
              <w:jc w:val="both"/>
              <w:rPr>
                <w:rFonts w:eastAsia="Calibri"/>
              </w:rPr>
            </w:pPr>
            <w:r w:rsidRPr="00863FD7">
              <w:rPr>
                <w:rFonts w:eastAsia="Calibri"/>
              </w:rPr>
              <w:t>The Government of Liberia (GoL), through the EPA and the United Nations Development Program (UNDP), and with funding from the Global Environmental Facility (GEF), received funding for the project “Enhancing Resilience of Vulnerable Coastal Communities in Sinoe County of Liberia (ERVCCS).” EPA is the project's Executing Entity. It is financed by a GEF Trust Fund grant and co-financed by UNDP and the GoL.</w:t>
            </w:r>
          </w:p>
          <w:p w14:paraId="2DEDFF24" w14:textId="77777777" w:rsidR="00442A3B" w:rsidRPr="00863FD7" w:rsidRDefault="00442A3B" w:rsidP="00EE5D82">
            <w:pPr>
              <w:spacing w:line="276" w:lineRule="auto"/>
              <w:jc w:val="both"/>
              <w:rPr>
                <w:rFonts w:eastAsia="Calibri"/>
              </w:rPr>
            </w:pPr>
          </w:p>
          <w:p w14:paraId="1E61DC26" w14:textId="77777777" w:rsidR="00442A3B" w:rsidRPr="00863FD7" w:rsidRDefault="00442A3B" w:rsidP="00EE5D82">
            <w:pPr>
              <w:spacing w:line="276" w:lineRule="auto"/>
              <w:jc w:val="both"/>
              <w:rPr>
                <w:rFonts w:eastAsia="Calibri"/>
              </w:rPr>
            </w:pPr>
            <w:r w:rsidRPr="00863FD7">
              <w:rPr>
                <w:rFonts w:eastAsia="Calibri"/>
              </w:rPr>
              <w:t>The project aims to build on existing projects to strengthen the resilience of vulnerable coastal communities and their livelihoods to the impacts of climate change, focusing on women and youth. Specifically, project interventions include the following:</w:t>
            </w:r>
          </w:p>
          <w:p w14:paraId="2B477001" w14:textId="77777777" w:rsidR="00442A3B" w:rsidRPr="00863FD7" w:rsidRDefault="00442A3B" w:rsidP="00EE5D82">
            <w:pPr>
              <w:spacing w:line="276" w:lineRule="auto"/>
              <w:jc w:val="both"/>
              <w:rPr>
                <w:rFonts w:eastAsia="Calibri"/>
              </w:rPr>
            </w:pPr>
          </w:p>
          <w:p w14:paraId="6EA093CD" w14:textId="77777777" w:rsidR="00442A3B" w:rsidRPr="00863FD7" w:rsidRDefault="00442A3B" w:rsidP="00EE5D82">
            <w:r w:rsidRPr="00863FD7">
              <w:rPr>
                <w:rStyle w:val="Heading3Char"/>
                <w:rFonts w:cs="Times New Roman"/>
                <w:b/>
                <w:bCs/>
                <w:color w:val="auto"/>
                <w:sz w:val="24"/>
                <w:szCs w:val="24"/>
              </w:rPr>
              <w:t>Component 1</w:t>
            </w:r>
            <w:r w:rsidRPr="00863FD7">
              <w:rPr>
                <w:rStyle w:val="Heading3Char"/>
                <w:rFonts w:cs="Times New Roman"/>
                <w:color w:val="auto"/>
                <w:sz w:val="24"/>
                <w:szCs w:val="24"/>
              </w:rPr>
              <w:t>:</w:t>
            </w:r>
            <w:r w:rsidRPr="00863FD7">
              <w:rPr>
                <w:rFonts w:eastAsia="Calibri"/>
              </w:rPr>
              <w:t xml:space="preserve"> Strengthening Institutional Capacity for Climate Change Adaptation Planning  </w:t>
            </w:r>
          </w:p>
          <w:p w14:paraId="21531D94" w14:textId="04B547B9" w:rsidR="00442A3B" w:rsidRPr="00863FD7" w:rsidRDefault="00442A3B" w:rsidP="00EE5D82">
            <w:pPr>
              <w:spacing w:line="276" w:lineRule="auto"/>
              <w:jc w:val="both"/>
              <w:rPr>
                <w:rStyle w:val="Heading2Char"/>
                <w:rFonts w:ascii="Times New Roman" w:hAnsi="Times New Roman" w:cs="Times New Roman"/>
                <w:color w:val="auto"/>
                <w:sz w:val="24"/>
                <w:szCs w:val="24"/>
              </w:rPr>
            </w:pPr>
            <w:r w:rsidRPr="00863FD7">
              <w:rPr>
                <w:rStyle w:val="Heading2Char"/>
                <w:rFonts w:ascii="Times New Roman" w:hAnsi="Times New Roman" w:cs="Times New Roman"/>
                <w:b/>
                <w:bCs/>
                <w:color w:val="auto"/>
                <w:sz w:val="24"/>
                <w:szCs w:val="24"/>
              </w:rPr>
              <w:lastRenderedPageBreak/>
              <w:t>Component 2</w:t>
            </w:r>
            <w:r w:rsidRPr="00863FD7">
              <w:rPr>
                <w:rStyle w:val="Heading2Char"/>
                <w:rFonts w:ascii="Times New Roman" w:hAnsi="Times New Roman" w:cs="Times New Roman"/>
                <w:color w:val="auto"/>
                <w:sz w:val="24"/>
                <w:szCs w:val="24"/>
              </w:rPr>
              <w:t>:</w:t>
            </w:r>
            <w:r w:rsidRPr="00863FD7">
              <w:rPr>
                <w:rFonts w:eastAsia="Calibri"/>
              </w:rPr>
              <w:t xml:space="preserve"> </w:t>
            </w:r>
            <w:r w:rsidRPr="00863FD7">
              <w:rPr>
                <w:lang w:val="en-GB"/>
              </w:rPr>
              <w:t>Innovation, technologies</w:t>
            </w:r>
            <w:r w:rsidR="00B036A2" w:rsidRPr="00863FD7">
              <w:rPr>
                <w:lang w:val="en-GB"/>
              </w:rPr>
              <w:t>,</w:t>
            </w:r>
            <w:r w:rsidRPr="00863FD7">
              <w:rPr>
                <w:lang w:val="en-GB"/>
              </w:rPr>
              <w:t xml:space="preserve"> and climate information introduced for coastal adaptation planning.</w:t>
            </w:r>
          </w:p>
          <w:p w14:paraId="0CA28538" w14:textId="77777777" w:rsidR="00442A3B" w:rsidRPr="00863FD7" w:rsidRDefault="00442A3B" w:rsidP="00EE5D82">
            <w:pPr>
              <w:spacing w:line="276" w:lineRule="auto"/>
              <w:jc w:val="both"/>
              <w:rPr>
                <w:rFonts w:eastAsia="Calibri"/>
              </w:rPr>
            </w:pPr>
            <w:r w:rsidRPr="00863FD7">
              <w:rPr>
                <w:rStyle w:val="Heading2Char"/>
                <w:rFonts w:ascii="Times New Roman" w:hAnsi="Times New Roman" w:cs="Times New Roman"/>
                <w:b/>
                <w:bCs/>
                <w:color w:val="auto"/>
                <w:sz w:val="24"/>
                <w:szCs w:val="24"/>
              </w:rPr>
              <w:t>Component 3</w:t>
            </w:r>
            <w:r w:rsidRPr="00863FD7">
              <w:rPr>
                <w:rStyle w:val="Heading2Char"/>
                <w:rFonts w:ascii="Times New Roman" w:hAnsi="Times New Roman" w:cs="Times New Roman"/>
                <w:color w:val="auto"/>
                <w:sz w:val="24"/>
                <w:szCs w:val="24"/>
              </w:rPr>
              <w:t>:</w:t>
            </w:r>
            <w:r w:rsidRPr="00863FD7">
              <w:rPr>
                <w:rFonts w:eastAsia="Calibri"/>
              </w:rPr>
              <w:t xml:space="preserve"> Introducing Engineered Hybrid Adaptation Solutions, and; </w:t>
            </w:r>
          </w:p>
          <w:p w14:paraId="51DD6FA3" w14:textId="77777777" w:rsidR="00442A3B" w:rsidRPr="00863FD7" w:rsidRDefault="00442A3B" w:rsidP="00EE5D82">
            <w:pPr>
              <w:spacing w:line="276" w:lineRule="auto"/>
              <w:jc w:val="both"/>
              <w:rPr>
                <w:rFonts w:eastAsia="Calibri"/>
              </w:rPr>
            </w:pPr>
            <w:r w:rsidRPr="00863FD7">
              <w:rPr>
                <w:rStyle w:val="Heading2Char"/>
                <w:rFonts w:ascii="Times New Roman" w:hAnsi="Times New Roman" w:cs="Times New Roman"/>
                <w:b/>
                <w:bCs/>
                <w:color w:val="auto"/>
                <w:sz w:val="24"/>
                <w:szCs w:val="24"/>
              </w:rPr>
              <w:t>Component 4</w:t>
            </w:r>
            <w:r w:rsidRPr="00863FD7">
              <w:rPr>
                <w:rStyle w:val="Heading2Char"/>
                <w:rFonts w:ascii="Times New Roman" w:hAnsi="Times New Roman" w:cs="Times New Roman"/>
                <w:color w:val="auto"/>
                <w:sz w:val="24"/>
                <w:szCs w:val="24"/>
              </w:rPr>
              <w:t xml:space="preserve">: </w:t>
            </w:r>
            <w:r w:rsidRPr="00863FD7">
              <w:rPr>
                <w:rFonts w:eastAsia="Calibri"/>
              </w:rPr>
              <w:t xml:space="preserve">Supporting Resilient Livelihood Diversification through Training and Improved Access to Finance. </w:t>
            </w:r>
          </w:p>
          <w:p w14:paraId="3710A631" w14:textId="77777777" w:rsidR="00442A3B" w:rsidRPr="00863FD7" w:rsidRDefault="00442A3B" w:rsidP="00EE5D82">
            <w:pPr>
              <w:spacing w:line="276" w:lineRule="auto"/>
              <w:jc w:val="both"/>
              <w:rPr>
                <w:rFonts w:eastAsia="Calibri"/>
              </w:rPr>
            </w:pPr>
          </w:p>
          <w:p w14:paraId="14C487CF" w14:textId="77777777" w:rsidR="00442A3B" w:rsidRPr="00863FD7" w:rsidRDefault="00442A3B" w:rsidP="00EE5D82">
            <w:pPr>
              <w:spacing w:line="276" w:lineRule="auto"/>
              <w:jc w:val="both"/>
              <w:rPr>
                <w:rFonts w:eastAsia="Calibri"/>
              </w:rPr>
            </w:pPr>
            <w:r w:rsidRPr="00863FD7">
              <w:rPr>
                <w:rFonts w:eastAsia="Calibri"/>
              </w:rPr>
              <w:t>The majority of the above interventions will target all coastal counties in Liberia. In contrast, hybrid adaptation interventions will be explicitly implemented in Sinoe County, one of the country’s most vulnerable coastal counties.</w:t>
            </w:r>
          </w:p>
          <w:p w14:paraId="529ADA27" w14:textId="77777777" w:rsidR="00442A3B" w:rsidRPr="00863FD7" w:rsidRDefault="00442A3B" w:rsidP="00EE5D82">
            <w:pPr>
              <w:spacing w:line="276" w:lineRule="auto"/>
              <w:jc w:val="both"/>
              <w:rPr>
                <w:rFonts w:eastAsia="Calibri"/>
              </w:rPr>
            </w:pPr>
          </w:p>
          <w:p w14:paraId="19AFEEB9" w14:textId="4A040DA5" w:rsidR="00442A3B" w:rsidRPr="00863FD7" w:rsidRDefault="00442A3B" w:rsidP="00EE5D82">
            <w:pPr>
              <w:spacing w:line="276" w:lineRule="auto"/>
              <w:jc w:val="both"/>
              <w:rPr>
                <w:rFonts w:eastAsia="Calibri"/>
              </w:rPr>
            </w:pPr>
            <w:r w:rsidRPr="00863FD7">
              <w:rPr>
                <w:rFonts w:eastAsia="Calibri"/>
              </w:rPr>
              <w:t xml:space="preserve">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Sinoe County, is exacerbated by the limited capacity of </w:t>
            </w:r>
            <w:r w:rsidR="00B036A2" w:rsidRPr="00863FD7">
              <w:rPr>
                <w:rFonts w:eastAsia="Calibri"/>
              </w:rPr>
              <w:t xml:space="preserve">the </w:t>
            </w:r>
            <w:r w:rsidRPr="00863FD7">
              <w:rPr>
                <w:rFonts w:eastAsia="Calibri"/>
              </w:rPr>
              <w:t>GoL to provide essential services and adequate support for, among other things, water and sanitation, healthcare, utility-scale energy, and road infrastructure.</w:t>
            </w:r>
          </w:p>
          <w:p w14:paraId="0D65FFE9" w14:textId="77777777" w:rsidR="00442A3B" w:rsidRPr="00863FD7" w:rsidRDefault="00442A3B" w:rsidP="00EE5D82">
            <w:pPr>
              <w:spacing w:line="276" w:lineRule="auto"/>
              <w:jc w:val="both"/>
              <w:rPr>
                <w:rFonts w:eastAsia="Calibri"/>
              </w:rPr>
            </w:pPr>
          </w:p>
          <w:p w14:paraId="1D1732D0" w14:textId="77777777" w:rsidR="00442A3B" w:rsidRPr="00863FD7" w:rsidRDefault="00442A3B" w:rsidP="00EE5D82">
            <w:pPr>
              <w:spacing w:line="276" w:lineRule="auto"/>
              <w:jc w:val="both"/>
              <w:rPr>
                <w:rFonts w:eastAsia="Calibri"/>
              </w:rPr>
            </w:pPr>
            <w:r w:rsidRPr="00863FD7">
              <w:rPr>
                <w:rFonts w:eastAsia="Calibri"/>
              </w:rPr>
              <w:t xml:space="preserve">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 </w:t>
            </w:r>
          </w:p>
        </w:tc>
      </w:tr>
    </w:tbl>
    <w:p w14:paraId="42C29019" w14:textId="77777777" w:rsidR="00442A3B" w:rsidRPr="00863FD7" w:rsidRDefault="00442A3B" w:rsidP="00442A3B"/>
    <w:p w14:paraId="3D1EE27A" w14:textId="02B1157E" w:rsidR="00442A3B" w:rsidRPr="00863FD7" w:rsidRDefault="00442A3B" w:rsidP="00EC5D66">
      <w:pPr>
        <w:rPr>
          <w:b/>
          <w:bCs/>
        </w:rPr>
      </w:pPr>
    </w:p>
    <w:tbl>
      <w:tblPr>
        <w:tblStyle w:val="TableGrid"/>
        <w:tblW w:w="10260" w:type="dxa"/>
        <w:tblInd w:w="-365" w:type="dxa"/>
        <w:tblLook w:val="04A0" w:firstRow="1" w:lastRow="0" w:firstColumn="1" w:lastColumn="0" w:noHBand="0" w:noVBand="1"/>
      </w:tblPr>
      <w:tblGrid>
        <w:gridCol w:w="10260"/>
      </w:tblGrid>
      <w:tr w:rsidR="00442A3B" w:rsidRPr="00863FD7" w14:paraId="2F34E645" w14:textId="77777777" w:rsidTr="00F77536">
        <w:trPr>
          <w:trHeight w:val="2438"/>
        </w:trPr>
        <w:tc>
          <w:tcPr>
            <w:tcW w:w="10260" w:type="dxa"/>
          </w:tcPr>
          <w:p w14:paraId="0977C19A" w14:textId="6595D093" w:rsidR="00F450C0" w:rsidRPr="00863FD7" w:rsidRDefault="00F450C0" w:rsidP="00BD5B03">
            <w:pPr>
              <w:spacing w:before="100" w:beforeAutospacing="1" w:after="100" w:afterAutospacing="1"/>
              <w:jc w:val="both"/>
              <w:outlineLvl w:val="2"/>
              <w:rPr>
                <w:b/>
                <w:bCs/>
              </w:rPr>
            </w:pPr>
            <w:r w:rsidRPr="00863FD7">
              <w:rPr>
                <w:b/>
                <w:bCs/>
              </w:rPr>
              <w:lastRenderedPageBreak/>
              <w:t>Background and Rationale</w:t>
            </w:r>
          </w:p>
          <w:p w14:paraId="166BC5F8" w14:textId="42B99C90" w:rsidR="00226C4F" w:rsidRPr="00863FD7" w:rsidRDefault="00226C4F" w:rsidP="00F450C0">
            <w:pPr>
              <w:spacing w:before="100" w:beforeAutospacing="1" w:after="100" w:afterAutospacing="1"/>
              <w:jc w:val="both"/>
            </w:pPr>
            <w:r w:rsidRPr="00863FD7">
              <w:rPr>
                <w:color w:val="222222"/>
                <w:shd w:val="clear" w:color="auto" w:fill="FFFFFF"/>
              </w:rPr>
              <w:t>Inclusive finance plays a vital role in fostering economic development, especially in underserved communities. In Liberia, many coastal communities lack access to adequate financial services, which hinders their economic growth. This study aims to identify barriers to financial inclusion and opportunities for enhancing financial services tailored to local needs</w:t>
            </w:r>
            <w:r w:rsidR="006F4890" w:rsidRPr="00863FD7">
              <w:rPr>
                <w:color w:val="222222"/>
                <w:shd w:val="clear" w:color="auto" w:fill="FFFFFF"/>
              </w:rPr>
              <w:t>.</w:t>
            </w:r>
          </w:p>
          <w:p w14:paraId="1F072AF3" w14:textId="77777777" w:rsidR="00F450C0" w:rsidRPr="00863FD7" w:rsidRDefault="00F450C0" w:rsidP="00B05BAB">
            <w:pPr>
              <w:jc w:val="both"/>
              <w:outlineLvl w:val="2"/>
              <w:rPr>
                <w:b/>
                <w:bCs/>
              </w:rPr>
            </w:pPr>
            <w:r w:rsidRPr="00863FD7">
              <w:rPr>
                <w:b/>
                <w:bCs/>
              </w:rPr>
              <w:t>2. Objective of the Assignment</w:t>
            </w:r>
          </w:p>
          <w:p w14:paraId="0E168601" w14:textId="77777777" w:rsidR="000E0BA5" w:rsidRPr="00863FD7" w:rsidRDefault="000E0BA5" w:rsidP="00B05BAB">
            <w:pPr>
              <w:jc w:val="both"/>
            </w:pPr>
          </w:p>
          <w:p w14:paraId="44DA98DE" w14:textId="55CB3AC0" w:rsidR="000E0BA5" w:rsidRPr="00863FD7" w:rsidRDefault="000E0BA5" w:rsidP="00B05BAB">
            <w:pPr>
              <w:jc w:val="both"/>
            </w:pPr>
            <w:r w:rsidRPr="00863FD7">
              <w:t xml:space="preserve">The primary objective of this assignment is to conduct detailed market studies within the target communities of </w:t>
            </w:r>
            <w:r w:rsidR="00771C60" w:rsidRPr="00863FD7">
              <w:t>Grand Cape Mount</w:t>
            </w:r>
            <w:r w:rsidRPr="00863FD7">
              <w:t xml:space="preserve"> County to:</w:t>
            </w:r>
          </w:p>
          <w:p w14:paraId="4D6D67D6" w14:textId="77777777" w:rsidR="000E0BA5" w:rsidRPr="00863FD7" w:rsidRDefault="000E0BA5" w:rsidP="00B05BAB">
            <w:pPr>
              <w:jc w:val="both"/>
            </w:pPr>
          </w:p>
          <w:p w14:paraId="11274615" w14:textId="77777777" w:rsidR="000E0BA5" w:rsidRPr="00863FD7" w:rsidRDefault="000E0BA5" w:rsidP="00B05BAB">
            <w:pPr>
              <w:numPr>
                <w:ilvl w:val="0"/>
                <w:numId w:val="38"/>
              </w:numPr>
              <w:jc w:val="both"/>
            </w:pPr>
            <w:r w:rsidRPr="00863FD7">
              <w:t>Assess the current state of financial services (formal and informal) used by the population.</w:t>
            </w:r>
          </w:p>
          <w:p w14:paraId="2AB84768" w14:textId="77777777" w:rsidR="000E0BA5" w:rsidRPr="00863FD7" w:rsidRDefault="000E0BA5" w:rsidP="00B05BAB">
            <w:pPr>
              <w:numPr>
                <w:ilvl w:val="0"/>
                <w:numId w:val="38"/>
              </w:numPr>
              <w:jc w:val="both"/>
            </w:pPr>
            <w:r w:rsidRPr="00863FD7">
              <w:t>Identify key barriers to accessing financial services (gender-based, geographic, socio-economic).</w:t>
            </w:r>
          </w:p>
          <w:p w14:paraId="7A9827F6" w14:textId="77777777" w:rsidR="000E0BA5" w:rsidRPr="00863FD7" w:rsidRDefault="000E0BA5" w:rsidP="00B05BAB">
            <w:pPr>
              <w:numPr>
                <w:ilvl w:val="0"/>
                <w:numId w:val="38"/>
              </w:numPr>
              <w:jc w:val="both"/>
            </w:pPr>
            <w:r w:rsidRPr="00863FD7">
              <w:t>Map existing providers and products in the local financial ecosystem.</w:t>
            </w:r>
          </w:p>
          <w:p w14:paraId="0DC08803" w14:textId="77777777" w:rsidR="000E0BA5" w:rsidRPr="00863FD7" w:rsidRDefault="000E0BA5" w:rsidP="00B05BAB">
            <w:pPr>
              <w:numPr>
                <w:ilvl w:val="0"/>
                <w:numId w:val="38"/>
              </w:numPr>
              <w:jc w:val="both"/>
            </w:pPr>
            <w:r w:rsidRPr="00863FD7">
              <w:t>Understand the financial behaviors, needs, and preferences of community members.</w:t>
            </w:r>
          </w:p>
          <w:p w14:paraId="59CB2164" w14:textId="098D5347" w:rsidR="000E0BA5" w:rsidRPr="00863FD7" w:rsidRDefault="000E0BA5" w:rsidP="00B05BAB">
            <w:pPr>
              <w:numPr>
                <w:ilvl w:val="0"/>
                <w:numId w:val="38"/>
              </w:numPr>
              <w:jc w:val="both"/>
            </w:pPr>
            <w:r w:rsidRPr="00863FD7">
              <w:t>Recommend strategies to improve access, inclusion, and utilization of financial services</w:t>
            </w:r>
          </w:p>
          <w:p w14:paraId="15B6F4CC" w14:textId="38E67B74" w:rsidR="00723916" w:rsidRPr="00863FD7" w:rsidRDefault="00F450C0" w:rsidP="00BD5B03">
            <w:pPr>
              <w:spacing w:before="100" w:beforeAutospacing="1" w:after="100" w:afterAutospacing="1"/>
              <w:jc w:val="both"/>
              <w:outlineLvl w:val="2"/>
              <w:rPr>
                <w:b/>
                <w:bCs/>
              </w:rPr>
            </w:pPr>
            <w:r w:rsidRPr="00863FD7">
              <w:rPr>
                <w:b/>
                <w:bCs/>
              </w:rPr>
              <w:t>3. Scope of Work</w:t>
            </w:r>
          </w:p>
          <w:p w14:paraId="7532E67F" w14:textId="77777777" w:rsidR="00D745ED" w:rsidRPr="00863FD7" w:rsidRDefault="00D745ED" w:rsidP="00BD5B03">
            <w:r w:rsidRPr="00863FD7">
              <w:t>The Consultant will undertake the following tasks:</w:t>
            </w:r>
          </w:p>
          <w:p w14:paraId="3CC18C13" w14:textId="77777777" w:rsidR="00D745ED" w:rsidRPr="00863FD7" w:rsidRDefault="00D745ED" w:rsidP="00BD5B03">
            <w:pPr>
              <w:numPr>
                <w:ilvl w:val="0"/>
                <w:numId w:val="39"/>
              </w:numPr>
            </w:pPr>
            <w:r w:rsidRPr="00863FD7">
              <w:rPr>
                <w:b/>
                <w:bCs/>
              </w:rPr>
              <w:t>Desk Review:</w:t>
            </w:r>
          </w:p>
          <w:p w14:paraId="68278B25" w14:textId="77777777" w:rsidR="00D745ED" w:rsidRPr="00863FD7" w:rsidRDefault="00D745ED" w:rsidP="00BD5B03">
            <w:pPr>
              <w:numPr>
                <w:ilvl w:val="1"/>
                <w:numId w:val="39"/>
              </w:numPr>
            </w:pPr>
            <w:r w:rsidRPr="00863FD7">
              <w:t>Review national financial inclusion strategies, relevant market studies, and other project-relevant documents.</w:t>
            </w:r>
          </w:p>
          <w:p w14:paraId="5011E6E7" w14:textId="7099C824" w:rsidR="00D745ED" w:rsidRPr="00863FD7" w:rsidRDefault="00D745ED" w:rsidP="00BD5B03">
            <w:pPr>
              <w:numPr>
                <w:ilvl w:val="1"/>
                <w:numId w:val="39"/>
              </w:numPr>
            </w:pPr>
            <w:r w:rsidRPr="00863FD7">
              <w:t xml:space="preserve">Analyze existing data on </w:t>
            </w:r>
            <w:r w:rsidR="00723916" w:rsidRPr="00863FD7">
              <w:t>Grand Cape Mount</w:t>
            </w:r>
            <w:r w:rsidRPr="00863FD7">
              <w:t xml:space="preserve"> County’s financial sector, poverty levels, and demographics.</w:t>
            </w:r>
          </w:p>
          <w:p w14:paraId="59D40B4D" w14:textId="77777777" w:rsidR="00D745ED" w:rsidRPr="00863FD7" w:rsidRDefault="00D745ED" w:rsidP="00BD5B03">
            <w:pPr>
              <w:numPr>
                <w:ilvl w:val="0"/>
                <w:numId w:val="39"/>
              </w:numPr>
            </w:pPr>
            <w:r w:rsidRPr="00863FD7">
              <w:rPr>
                <w:b/>
                <w:bCs/>
              </w:rPr>
              <w:t>Fieldwork Preparation:</w:t>
            </w:r>
          </w:p>
          <w:p w14:paraId="36C26B94" w14:textId="77777777" w:rsidR="00D745ED" w:rsidRPr="00863FD7" w:rsidRDefault="00D745ED" w:rsidP="00BD5B03">
            <w:pPr>
              <w:numPr>
                <w:ilvl w:val="1"/>
                <w:numId w:val="39"/>
              </w:numPr>
            </w:pPr>
            <w:r w:rsidRPr="00863FD7">
              <w:t>Develop a detailed fieldwork plan and data collection tools (questionnaires, focus group guides, etc.).</w:t>
            </w:r>
          </w:p>
          <w:p w14:paraId="5BA5E81A" w14:textId="77777777" w:rsidR="00D745ED" w:rsidRPr="00863FD7" w:rsidRDefault="00D745ED" w:rsidP="00BD5B03">
            <w:pPr>
              <w:numPr>
                <w:ilvl w:val="1"/>
                <w:numId w:val="39"/>
              </w:numPr>
            </w:pPr>
            <w:r w:rsidRPr="00863FD7">
              <w:t>Identify and engage local enumerators or support staff as needed (subject to approval by project team).</w:t>
            </w:r>
          </w:p>
          <w:p w14:paraId="06C61766" w14:textId="77777777" w:rsidR="00D745ED" w:rsidRPr="00863FD7" w:rsidRDefault="00D745ED" w:rsidP="00BD5B03">
            <w:pPr>
              <w:numPr>
                <w:ilvl w:val="0"/>
                <w:numId w:val="39"/>
              </w:numPr>
            </w:pPr>
            <w:r w:rsidRPr="00863FD7">
              <w:rPr>
                <w:b/>
                <w:bCs/>
              </w:rPr>
              <w:t>Primary Data Collection:</w:t>
            </w:r>
          </w:p>
          <w:p w14:paraId="787C5162" w14:textId="569FF899" w:rsidR="00D745ED" w:rsidRPr="00863FD7" w:rsidRDefault="00D745ED" w:rsidP="00BD5B03">
            <w:pPr>
              <w:numPr>
                <w:ilvl w:val="1"/>
                <w:numId w:val="39"/>
              </w:numPr>
            </w:pPr>
            <w:r w:rsidRPr="00863FD7">
              <w:t>Conduct household surveys, focus group discussions, and key informant interviews across the target communities in</w:t>
            </w:r>
            <w:r w:rsidR="006C694A" w:rsidRPr="00863FD7">
              <w:t xml:space="preserve"> Grand Cape Mount</w:t>
            </w:r>
            <w:r w:rsidRPr="00863FD7">
              <w:t xml:space="preserve"> County.</w:t>
            </w:r>
          </w:p>
          <w:p w14:paraId="544B18AF" w14:textId="77777777" w:rsidR="00D745ED" w:rsidRPr="00863FD7" w:rsidRDefault="00D745ED" w:rsidP="00BD5B03">
            <w:pPr>
              <w:numPr>
                <w:ilvl w:val="1"/>
                <w:numId w:val="39"/>
              </w:numPr>
            </w:pPr>
            <w:r w:rsidRPr="00863FD7">
              <w:t>Engage diverse groups, including women, youth, persons with disabilities, and smallholder farmers.</w:t>
            </w:r>
          </w:p>
          <w:p w14:paraId="5FFEC39E" w14:textId="77777777" w:rsidR="00D745ED" w:rsidRPr="00863FD7" w:rsidRDefault="00D745ED" w:rsidP="00BD5B03">
            <w:pPr>
              <w:numPr>
                <w:ilvl w:val="0"/>
                <w:numId w:val="39"/>
              </w:numPr>
            </w:pPr>
            <w:r w:rsidRPr="00863FD7">
              <w:rPr>
                <w:b/>
                <w:bCs/>
              </w:rPr>
              <w:t>Data Analysis &amp; Market Mapping:</w:t>
            </w:r>
          </w:p>
          <w:p w14:paraId="4BA380A1" w14:textId="77777777" w:rsidR="00D745ED" w:rsidRPr="00863FD7" w:rsidRDefault="00D745ED" w:rsidP="00BD5B03">
            <w:pPr>
              <w:numPr>
                <w:ilvl w:val="1"/>
                <w:numId w:val="39"/>
              </w:numPr>
            </w:pPr>
            <w:r w:rsidRPr="00863FD7">
              <w:t>Analyze quantitative and qualitative data to assess financial needs, service gaps, usage patterns, and service providers.</w:t>
            </w:r>
          </w:p>
          <w:p w14:paraId="5A8A8078" w14:textId="5210F899" w:rsidR="00D745ED" w:rsidRPr="00863FD7" w:rsidRDefault="00D745ED" w:rsidP="00BD5B03">
            <w:pPr>
              <w:numPr>
                <w:ilvl w:val="1"/>
                <w:numId w:val="39"/>
              </w:numPr>
            </w:pPr>
            <w:r w:rsidRPr="00863FD7">
              <w:t>Map formal and informal financial service providers in the region</w:t>
            </w:r>
            <w:r w:rsidR="009654E8" w:rsidRPr="00863FD7">
              <w:t xml:space="preserve"> within the targeted communities</w:t>
            </w:r>
          </w:p>
          <w:p w14:paraId="64E7BEDD" w14:textId="29920ADD" w:rsidR="00723916" w:rsidRPr="00863FD7" w:rsidRDefault="00723916" w:rsidP="00BD5B03">
            <w:pPr>
              <w:numPr>
                <w:ilvl w:val="1"/>
                <w:numId w:val="39"/>
              </w:numPr>
            </w:pPr>
            <w:r w:rsidRPr="00863FD7">
              <w:rPr>
                <w:color w:val="222222"/>
                <w:shd w:val="clear" w:color="auto" w:fill="FFFFFF"/>
              </w:rPr>
              <w:t>Analyze demographic, socio-economic, and cultural factors influencing financial behaviors</w:t>
            </w:r>
          </w:p>
          <w:p w14:paraId="68CE88AA" w14:textId="13F9B559" w:rsidR="006C694A" w:rsidRPr="00863FD7" w:rsidRDefault="006C694A" w:rsidP="00B02983">
            <w:pPr>
              <w:rPr>
                <w:color w:val="222222"/>
                <w:shd w:val="clear" w:color="auto" w:fill="FFFFFF"/>
              </w:rPr>
            </w:pPr>
            <w:r w:rsidRPr="00863FD7">
              <w:rPr>
                <w:color w:val="222222"/>
                <w:shd w:val="clear" w:color="auto" w:fill="FFFFFF"/>
              </w:rPr>
              <w:lastRenderedPageBreak/>
              <w:t>5. Reporting: Prepare a comprehensive report detailing findings and recommendations</w:t>
            </w:r>
            <w:r w:rsidR="00667577" w:rsidRPr="00863FD7">
              <w:rPr>
                <w:color w:val="222222"/>
                <w:shd w:val="clear" w:color="auto" w:fill="FFFFFF"/>
              </w:rPr>
              <w:t>, including a summary matrix linking recommended financial mechanisms to specific livelihood activities.</w:t>
            </w:r>
            <w:r w:rsidR="0045051A" w:rsidRPr="00863FD7">
              <w:rPr>
                <w:color w:val="222222"/>
                <w:shd w:val="clear" w:color="auto" w:fill="FFFFFF"/>
              </w:rPr>
              <w:t xml:space="preserve"> </w:t>
            </w:r>
          </w:p>
          <w:p w14:paraId="5C9231BB" w14:textId="293B3CEA" w:rsidR="006C694A" w:rsidRPr="00863FD7" w:rsidRDefault="006C694A" w:rsidP="00B02983">
            <w:r w:rsidRPr="00863FD7">
              <w:rPr>
                <w:color w:val="222222"/>
                <w:shd w:val="clear" w:color="auto" w:fill="FFFFFF"/>
              </w:rPr>
              <w:t xml:space="preserve">                     Document case studies of successful inclusive </w:t>
            </w:r>
            <w:proofErr w:type="gramStart"/>
            <w:r w:rsidRPr="00863FD7">
              <w:rPr>
                <w:color w:val="222222"/>
                <w:shd w:val="clear" w:color="auto" w:fill="FFFFFF"/>
              </w:rPr>
              <w:t>financ</w:t>
            </w:r>
            <w:r w:rsidR="00667577" w:rsidRPr="00863FD7">
              <w:rPr>
                <w:color w:val="222222"/>
                <w:shd w:val="clear" w:color="auto" w:fill="FFFFFF"/>
              </w:rPr>
              <w:t xml:space="preserve">ial </w:t>
            </w:r>
            <w:r w:rsidRPr="00863FD7">
              <w:rPr>
                <w:color w:val="222222"/>
                <w:shd w:val="clear" w:color="auto" w:fill="FFFFFF"/>
              </w:rPr>
              <w:t xml:space="preserve"> </w:t>
            </w:r>
            <w:r w:rsidR="00667577" w:rsidRPr="00863FD7">
              <w:rPr>
                <w:color w:val="222222"/>
                <w:shd w:val="clear" w:color="auto" w:fill="FFFFFF"/>
              </w:rPr>
              <w:t>management</w:t>
            </w:r>
            <w:proofErr w:type="gramEnd"/>
            <w:r w:rsidR="00667577" w:rsidRPr="00863FD7">
              <w:rPr>
                <w:color w:val="222222"/>
                <w:shd w:val="clear" w:color="auto" w:fill="FFFFFF"/>
              </w:rPr>
              <w:t xml:space="preserve"> studies </w:t>
            </w:r>
            <w:r w:rsidRPr="00863FD7">
              <w:rPr>
                <w:color w:val="222222"/>
                <w:shd w:val="clear" w:color="auto" w:fill="FFFFFF"/>
              </w:rPr>
              <w:t xml:space="preserve"> </w:t>
            </w:r>
            <w:r w:rsidR="00667577" w:rsidRPr="00863FD7">
              <w:rPr>
                <w:color w:val="222222"/>
                <w:shd w:val="clear" w:color="auto" w:fill="FFFFFF"/>
              </w:rPr>
              <w:t xml:space="preserve">previously conducted by the consultant  in </w:t>
            </w:r>
            <w:r w:rsidRPr="00863FD7">
              <w:rPr>
                <w:color w:val="222222"/>
                <w:shd w:val="clear" w:color="auto" w:fill="FFFFFF"/>
              </w:rPr>
              <w:t xml:space="preserve"> similar contexts.</w:t>
            </w:r>
          </w:p>
          <w:p w14:paraId="45E6AE4E" w14:textId="77777777" w:rsidR="00F450C0" w:rsidRPr="00863FD7" w:rsidRDefault="00F450C0" w:rsidP="00BD5B03">
            <w:pPr>
              <w:spacing w:before="100" w:beforeAutospacing="1" w:after="100" w:afterAutospacing="1"/>
              <w:jc w:val="both"/>
              <w:outlineLvl w:val="2"/>
              <w:rPr>
                <w:b/>
                <w:bCs/>
              </w:rPr>
            </w:pPr>
            <w:r w:rsidRPr="00863FD7">
              <w:rPr>
                <w:b/>
                <w:bCs/>
              </w:rPr>
              <w:t>4. Expected Deliverables</w:t>
            </w:r>
          </w:p>
          <w:p w14:paraId="1BE89AAF" w14:textId="4834DFB7" w:rsidR="00F450C0" w:rsidRPr="00863FD7" w:rsidRDefault="00F450C0" w:rsidP="00BD5B03">
            <w:pPr>
              <w:numPr>
                <w:ilvl w:val="0"/>
                <w:numId w:val="33"/>
              </w:numPr>
              <w:spacing w:before="100" w:beforeAutospacing="1" w:after="100" w:afterAutospacing="1"/>
              <w:jc w:val="both"/>
            </w:pPr>
            <w:r w:rsidRPr="00863FD7">
              <w:t>Inception report with work plan and methodology</w:t>
            </w:r>
          </w:p>
          <w:p w14:paraId="1F44D8D8" w14:textId="70FBF7DA" w:rsidR="006C694A" w:rsidRPr="00863FD7" w:rsidRDefault="006C694A" w:rsidP="00BD5B03">
            <w:pPr>
              <w:numPr>
                <w:ilvl w:val="0"/>
                <w:numId w:val="33"/>
              </w:numPr>
              <w:spacing w:before="100" w:beforeAutospacing="1" w:after="100" w:afterAutospacing="1"/>
              <w:jc w:val="both"/>
            </w:pPr>
            <w:r w:rsidRPr="00863FD7">
              <w:rPr>
                <w:color w:val="222222"/>
                <w:shd w:val="clear" w:color="auto" w:fill="FFFFFF"/>
              </w:rPr>
              <w:t>Data Collection Instruments (surveys, interview guides)</w:t>
            </w:r>
            <w:r w:rsidR="00CC095A" w:rsidRPr="00863FD7">
              <w:rPr>
                <w:color w:val="222222"/>
                <w:shd w:val="clear" w:color="auto" w:fill="FFFFFF"/>
              </w:rPr>
              <w:t xml:space="preserve"> </w:t>
            </w:r>
          </w:p>
          <w:p w14:paraId="5B7C7E67" w14:textId="6F7590C1" w:rsidR="00A1488C" w:rsidRPr="00863FD7" w:rsidRDefault="00A1488C" w:rsidP="00BD5B03">
            <w:pPr>
              <w:numPr>
                <w:ilvl w:val="0"/>
                <w:numId w:val="33"/>
              </w:numPr>
              <w:spacing w:before="100" w:beforeAutospacing="1" w:after="100" w:afterAutospacing="1"/>
              <w:jc w:val="both"/>
            </w:pPr>
            <w:r w:rsidRPr="00863FD7">
              <w:t>Draft Market Study Report</w:t>
            </w:r>
          </w:p>
          <w:p w14:paraId="20F30A3B" w14:textId="79779F25" w:rsidR="00F450C0" w:rsidRPr="00863FD7" w:rsidRDefault="00D745ED" w:rsidP="00BD5B03">
            <w:pPr>
              <w:numPr>
                <w:ilvl w:val="0"/>
                <w:numId w:val="33"/>
              </w:numPr>
              <w:spacing w:before="100" w:beforeAutospacing="1" w:after="100" w:afterAutospacing="1"/>
              <w:jc w:val="both"/>
            </w:pPr>
            <w:r w:rsidRPr="00863FD7">
              <w:t>Final approved report and stakeholder presentation</w:t>
            </w:r>
            <w:r w:rsidR="00F450C0" w:rsidRPr="00863FD7">
              <w:t>.</w:t>
            </w:r>
          </w:p>
          <w:p w14:paraId="6B59A55C" w14:textId="77777777" w:rsidR="0042701D" w:rsidRPr="00863FD7" w:rsidRDefault="0042701D" w:rsidP="00BD5B03">
            <w:pPr>
              <w:spacing w:before="100" w:beforeAutospacing="1" w:after="100" w:afterAutospacing="1"/>
              <w:jc w:val="both"/>
              <w:outlineLvl w:val="2"/>
              <w:rPr>
                <w:b/>
                <w:bCs/>
              </w:rPr>
            </w:pPr>
            <w:r w:rsidRPr="00863FD7">
              <w:rPr>
                <w:b/>
                <w:bCs/>
              </w:rPr>
              <w:t>Methodology and Approach</w:t>
            </w:r>
          </w:p>
          <w:p w14:paraId="28DA5B09" w14:textId="66B7CEA0" w:rsidR="003E6EC3" w:rsidRPr="00863FD7" w:rsidRDefault="0042701D" w:rsidP="00BD5B03">
            <w:pPr>
              <w:spacing w:after="120" w:line="330" w:lineRule="atLeast"/>
              <w:ind w:left="720"/>
              <w:rPr>
                <w:spacing w:val="2"/>
              </w:rPr>
            </w:pPr>
            <w:r w:rsidRPr="00863FD7">
              <w:t xml:space="preserve">The assignment will adopt </w:t>
            </w:r>
            <w:r w:rsidR="003E6EC3" w:rsidRPr="00863FD7">
              <w:rPr>
                <w:spacing w:val="2"/>
              </w:rPr>
              <w:t>qualitative and quantitative research methods to be used, such as:</w:t>
            </w:r>
          </w:p>
          <w:p w14:paraId="246A7F06" w14:textId="08D685DE" w:rsidR="003E6EC3" w:rsidRPr="00863FD7" w:rsidRDefault="003E6EC3" w:rsidP="00BD5B03">
            <w:pPr>
              <w:spacing w:line="330" w:lineRule="atLeast"/>
              <w:ind w:left="720"/>
              <w:rPr>
                <w:spacing w:val="2"/>
              </w:rPr>
            </w:pPr>
            <w:r w:rsidRPr="00863FD7">
              <w:rPr>
                <w:spacing w:val="2"/>
              </w:rPr>
              <w:t xml:space="preserve">          Literature review. </w:t>
            </w:r>
          </w:p>
          <w:p w14:paraId="2497E053" w14:textId="77777777" w:rsidR="003E6EC3" w:rsidRPr="00863FD7" w:rsidRDefault="003E6EC3" w:rsidP="00BD5B03">
            <w:pPr>
              <w:numPr>
                <w:ilvl w:val="1"/>
                <w:numId w:val="42"/>
              </w:numPr>
              <w:spacing w:line="330" w:lineRule="atLeast"/>
              <w:rPr>
                <w:spacing w:val="2"/>
              </w:rPr>
            </w:pPr>
            <w:r w:rsidRPr="00863FD7">
              <w:rPr>
                <w:spacing w:val="2"/>
              </w:rPr>
              <w:t>Key informant interviews. </w:t>
            </w:r>
          </w:p>
          <w:p w14:paraId="71858D24" w14:textId="77777777" w:rsidR="003E6EC3" w:rsidRPr="00863FD7" w:rsidRDefault="003E6EC3" w:rsidP="00BD5B03">
            <w:pPr>
              <w:numPr>
                <w:ilvl w:val="1"/>
                <w:numId w:val="42"/>
              </w:numPr>
              <w:spacing w:line="330" w:lineRule="atLeast"/>
              <w:rPr>
                <w:spacing w:val="2"/>
              </w:rPr>
            </w:pPr>
            <w:r w:rsidRPr="00863FD7">
              <w:rPr>
                <w:spacing w:val="2"/>
              </w:rPr>
              <w:t>Focus group discussions. </w:t>
            </w:r>
          </w:p>
          <w:p w14:paraId="2B8498BD" w14:textId="77777777" w:rsidR="003E6EC3" w:rsidRPr="00863FD7" w:rsidRDefault="003E6EC3" w:rsidP="00BD5B03">
            <w:pPr>
              <w:numPr>
                <w:ilvl w:val="1"/>
                <w:numId w:val="42"/>
              </w:numPr>
              <w:spacing w:line="330" w:lineRule="atLeast"/>
              <w:rPr>
                <w:spacing w:val="2"/>
              </w:rPr>
            </w:pPr>
            <w:r w:rsidRPr="00863FD7">
              <w:rPr>
                <w:spacing w:val="2"/>
              </w:rPr>
              <w:t>Surveys. </w:t>
            </w:r>
          </w:p>
          <w:p w14:paraId="18E44B7A" w14:textId="77777777" w:rsidR="003E6EC3" w:rsidRPr="00863FD7" w:rsidRDefault="003E6EC3" w:rsidP="00BD5B03">
            <w:pPr>
              <w:numPr>
                <w:ilvl w:val="1"/>
                <w:numId w:val="42"/>
              </w:numPr>
              <w:spacing w:line="330" w:lineRule="atLeast"/>
              <w:rPr>
                <w:spacing w:val="2"/>
              </w:rPr>
            </w:pPr>
            <w:r w:rsidRPr="00863FD7">
              <w:rPr>
                <w:spacing w:val="2"/>
              </w:rPr>
              <w:t>Case studies. </w:t>
            </w:r>
          </w:p>
          <w:p w14:paraId="0E21A990" w14:textId="3802512A" w:rsidR="0042701D" w:rsidRPr="00863FD7" w:rsidRDefault="0042701D" w:rsidP="00863FD7">
            <w:pPr>
              <w:spacing w:before="100" w:beforeAutospacing="1" w:after="100" w:afterAutospacing="1"/>
              <w:jc w:val="both"/>
              <w:outlineLvl w:val="2"/>
              <w:rPr>
                <w:b/>
                <w:bCs/>
              </w:rPr>
            </w:pPr>
            <w:r w:rsidRPr="00863FD7">
              <w:rPr>
                <w:b/>
                <w:bCs/>
              </w:rPr>
              <w:t>6. Implementation Arrangements</w:t>
            </w:r>
          </w:p>
          <w:p w14:paraId="4A90E361" w14:textId="553ABF97" w:rsidR="0042701D" w:rsidRPr="00863FD7" w:rsidRDefault="0042701D" w:rsidP="0042701D">
            <w:pPr>
              <w:pStyle w:val="ListParagraph"/>
              <w:spacing w:before="100" w:beforeAutospacing="1" w:after="100" w:afterAutospacing="1"/>
              <w:jc w:val="both"/>
              <w:outlineLvl w:val="2"/>
              <w:rPr>
                <w:b/>
                <w:bCs/>
              </w:rPr>
            </w:pPr>
            <w:r w:rsidRPr="00863FD7">
              <w:t>The assignment will be conducted over 4</w:t>
            </w:r>
            <w:r w:rsidR="00863FD7" w:rsidRPr="00863FD7">
              <w:t>0 days over the period of three (3)</w:t>
            </w:r>
            <w:r w:rsidRPr="00863FD7">
              <w:t xml:space="preserve"> months. The service provider will work under the direct supervision of the PMU </w:t>
            </w:r>
            <w:r w:rsidR="00BD5B03" w:rsidRPr="00863FD7">
              <w:t>through the Project Manager</w:t>
            </w:r>
            <w:r w:rsidRPr="00863FD7">
              <w:t xml:space="preserve"> and report regularly. Coordination meetings will be held bi-weekly with </w:t>
            </w:r>
            <w:r w:rsidR="00BD5B03" w:rsidRPr="00863FD7">
              <w:t>the PMU</w:t>
            </w:r>
            <w:r w:rsidRPr="00863FD7">
              <w:t>.</w:t>
            </w:r>
          </w:p>
          <w:p w14:paraId="3286A73E" w14:textId="77777777" w:rsidR="0042701D" w:rsidRPr="00863FD7" w:rsidRDefault="0042701D" w:rsidP="0042701D">
            <w:pPr>
              <w:spacing w:before="100" w:beforeAutospacing="1" w:after="100" w:afterAutospacing="1"/>
              <w:jc w:val="both"/>
              <w:outlineLvl w:val="2"/>
              <w:rPr>
                <w:b/>
                <w:bCs/>
              </w:rPr>
            </w:pPr>
            <w:r w:rsidRPr="00863FD7">
              <w:rPr>
                <w:b/>
                <w:bCs/>
              </w:rPr>
              <w:t>Expected Outcomes and Impact</w:t>
            </w:r>
          </w:p>
          <w:p w14:paraId="4634AFB0" w14:textId="77777777" w:rsidR="001411FB" w:rsidRPr="00863FD7" w:rsidRDefault="001411FB" w:rsidP="001411FB">
            <w:pPr>
              <w:numPr>
                <w:ilvl w:val="0"/>
                <w:numId w:val="36"/>
              </w:numPr>
              <w:spacing w:before="100" w:beforeAutospacing="1" w:after="100" w:afterAutospacing="1"/>
              <w:jc w:val="both"/>
            </w:pPr>
            <w:r w:rsidRPr="00863FD7">
              <w:t>Carry out two market studies in the target communities</w:t>
            </w:r>
          </w:p>
          <w:p w14:paraId="6E44CD00" w14:textId="77777777" w:rsidR="001411FB" w:rsidRPr="00863FD7" w:rsidRDefault="001411FB" w:rsidP="001411FB">
            <w:pPr>
              <w:numPr>
                <w:ilvl w:val="0"/>
                <w:numId w:val="36"/>
              </w:numPr>
              <w:spacing w:before="100" w:beforeAutospacing="1" w:after="100" w:afterAutospacing="1"/>
              <w:jc w:val="both"/>
            </w:pPr>
            <w:r w:rsidRPr="00863FD7">
              <w:t>Report and describe the recommended climate-resilient financial products.</w:t>
            </w:r>
          </w:p>
          <w:p w14:paraId="36234759" w14:textId="60795F93" w:rsidR="0042701D" w:rsidRPr="00863FD7" w:rsidRDefault="001411FB" w:rsidP="001411FB">
            <w:pPr>
              <w:numPr>
                <w:ilvl w:val="0"/>
                <w:numId w:val="36"/>
              </w:numPr>
              <w:spacing w:before="100" w:beforeAutospacing="1" w:after="100" w:afterAutospacing="1"/>
              <w:jc w:val="both"/>
            </w:pPr>
            <w:r w:rsidRPr="00863FD7">
              <w:t>Outline existing financing, required climate-responsive financial products, and potential market demand, including community-specific business cases, cash-flow analyses, and rate of returns</w:t>
            </w:r>
            <w:r w:rsidR="0042701D" w:rsidRPr="00863FD7">
              <w:t>.</w:t>
            </w:r>
          </w:p>
          <w:p w14:paraId="0274F422" w14:textId="77777777" w:rsidR="0042701D" w:rsidRPr="00863FD7" w:rsidRDefault="0042701D" w:rsidP="0042701D">
            <w:pPr>
              <w:spacing w:before="100" w:beforeAutospacing="1" w:after="100" w:afterAutospacing="1"/>
              <w:jc w:val="both"/>
              <w:outlineLvl w:val="2"/>
              <w:rPr>
                <w:b/>
                <w:bCs/>
              </w:rPr>
            </w:pPr>
            <w:r w:rsidRPr="00863FD7">
              <w:rPr>
                <w:b/>
                <w:bCs/>
              </w:rPr>
              <w:t>9. Monitoring, Evaluation, and Reporting</w:t>
            </w:r>
          </w:p>
          <w:p w14:paraId="5BC664D0" w14:textId="0727A753" w:rsidR="0042701D" w:rsidRPr="00863FD7" w:rsidRDefault="0042701D" w:rsidP="0042701D">
            <w:pPr>
              <w:numPr>
                <w:ilvl w:val="0"/>
                <w:numId w:val="37"/>
              </w:numPr>
              <w:spacing w:before="100" w:beforeAutospacing="1" w:after="100" w:afterAutospacing="1"/>
              <w:jc w:val="both"/>
            </w:pPr>
            <w:r w:rsidRPr="00863FD7">
              <w:rPr>
                <w:bCs/>
              </w:rPr>
              <w:t>Progress reports</w:t>
            </w:r>
            <w:r w:rsidRPr="00863FD7">
              <w:t xml:space="preserve"> after inception.</w:t>
            </w:r>
          </w:p>
          <w:p w14:paraId="65165CB3" w14:textId="48D7199D" w:rsidR="0042701D" w:rsidRPr="00863FD7" w:rsidRDefault="0042701D" w:rsidP="0042701D">
            <w:pPr>
              <w:numPr>
                <w:ilvl w:val="0"/>
                <w:numId w:val="37"/>
              </w:numPr>
              <w:spacing w:before="100" w:beforeAutospacing="1" w:after="100" w:afterAutospacing="1"/>
              <w:jc w:val="both"/>
            </w:pPr>
            <w:r w:rsidRPr="00863FD7">
              <w:rPr>
                <w:bCs/>
              </w:rPr>
              <w:t xml:space="preserve">Final </w:t>
            </w:r>
            <w:r w:rsidR="001411FB" w:rsidRPr="00863FD7">
              <w:rPr>
                <w:bCs/>
              </w:rPr>
              <w:t>studies</w:t>
            </w:r>
            <w:r w:rsidRPr="00863FD7">
              <w:rPr>
                <w:bCs/>
              </w:rPr>
              <w:t xml:space="preserve"> report</w:t>
            </w:r>
            <w:r w:rsidRPr="00863FD7">
              <w:t xml:space="preserve"> including lessons learned and recommendations.</w:t>
            </w:r>
          </w:p>
          <w:p w14:paraId="25EF2768" w14:textId="77777777" w:rsidR="0042701D" w:rsidRPr="00863FD7" w:rsidRDefault="0042701D" w:rsidP="0042701D">
            <w:pPr>
              <w:numPr>
                <w:ilvl w:val="0"/>
                <w:numId w:val="37"/>
              </w:numPr>
              <w:spacing w:before="100" w:beforeAutospacing="1" w:after="100" w:afterAutospacing="1"/>
              <w:jc w:val="both"/>
            </w:pPr>
            <w:r w:rsidRPr="00863FD7">
              <w:t>Indicators:</w:t>
            </w:r>
          </w:p>
          <w:p w14:paraId="62C7753B" w14:textId="4013356B" w:rsidR="0042701D" w:rsidRPr="00863FD7" w:rsidRDefault="0042701D" w:rsidP="0042701D">
            <w:pPr>
              <w:ind w:left="720"/>
              <w:jc w:val="both"/>
            </w:pPr>
            <w:r w:rsidRPr="00863FD7">
              <w:t xml:space="preserve">Number of </w:t>
            </w:r>
            <w:r w:rsidR="001411FB" w:rsidRPr="00863FD7">
              <w:t>targeted communities assessed</w:t>
            </w:r>
            <w:r w:rsidRPr="00863FD7">
              <w:t>.</w:t>
            </w:r>
          </w:p>
          <w:p w14:paraId="18E937F8" w14:textId="5447F9ED" w:rsidR="0042701D" w:rsidRPr="00863FD7" w:rsidRDefault="0042701D" w:rsidP="0042701D">
            <w:pPr>
              <w:ind w:left="720"/>
              <w:jc w:val="both"/>
            </w:pPr>
            <w:r w:rsidRPr="00863FD7">
              <w:t xml:space="preserve">Number of community representatives </w:t>
            </w:r>
            <w:r w:rsidR="001411FB" w:rsidRPr="00863FD7">
              <w:t>interviewed</w:t>
            </w:r>
            <w:r w:rsidRPr="00863FD7">
              <w:t>.</w:t>
            </w:r>
          </w:p>
          <w:p w14:paraId="4614EF46" w14:textId="77777777" w:rsidR="0042701D" w:rsidRPr="00863FD7" w:rsidRDefault="0042701D" w:rsidP="0042701D">
            <w:pPr>
              <w:ind w:left="720"/>
              <w:jc w:val="both"/>
            </w:pPr>
            <w:r w:rsidRPr="00863FD7">
              <w:lastRenderedPageBreak/>
              <w:t>Pilot implementation success rate.</w:t>
            </w:r>
          </w:p>
          <w:p w14:paraId="7CFB5B6D" w14:textId="63AAABA2" w:rsidR="00EC5D66" w:rsidRPr="00863FD7" w:rsidRDefault="0042701D" w:rsidP="00E72F2D">
            <w:pPr>
              <w:spacing w:before="100" w:beforeAutospacing="1" w:after="100" w:afterAutospacing="1"/>
              <w:jc w:val="both"/>
              <w:outlineLvl w:val="2"/>
              <w:rPr>
                <w:rFonts w:eastAsiaTheme="majorEastAsia"/>
                <w:b/>
                <w:bCs/>
              </w:rPr>
            </w:pPr>
            <w:r w:rsidRPr="00863FD7">
              <w:rPr>
                <w:b/>
                <w:bCs/>
              </w:rPr>
              <w:t xml:space="preserve">11. </w:t>
            </w:r>
            <w:r w:rsidR="00EC5D66" w:rsidRPr="00863FD7">
              <w:rPr>
                <w:b/>
                <w:bCs/>
              </w:rPr>
              <w:t>6. </w:t>
            </w:r>
            <w:r w:rsidR="00EC5D66" w:rsidRPr="00863FD7">
              <w:rPr>
                <w:rFonts w:eastAsiaTheme="majorEastAsia"/>
                <w:b/>
                <w:bCs/>
              </w:rPr>
              <w:t>Qualifications and Experience</w:t>
            </w:r>
          </w:p>
          <w:p w14:paraId="0A59D409" w14:textId="77777777" w:rsidR="00CC095A" w:rsidRPr="00863FD7" w:rsidRDefault="00CC095A" w:rsidP="00E72F2D">
            <w:pPr>
              <w:spacing w:before="100" w:beforeAutospacing="1" w:after="100" w:afterAutospacing="1"/>
              <w:jc w:val="both"/>
              <w:outlineLvl w:val="2"/>
              <w:rPr>
                <w:rFonts w:eastAsiaTheme="majorEastAsia"/>
                <w:b/>
                <w:bCs/>
              </w:rPr>
            </w:pPr>
            <w:r w:rsidRPr="00863FD7">
              <w:rPr>
                <w:rFonts w:eastAsiaTheme="majorEastAsia"/>
                <w:b/>
                <w:bCs/>
              </w:rPr>
              <w:t>Academic Qualification</w:t>
            </w:r>
          </w:p>
          <w:p w14:paraId="5E545D8D" w14:textId="1A44A1CA" w:rsidR="00C23583" w:rsidRPr="00863FD7" w:rsidRDefault="00A24DA0" w:rsidP="0032598D">
            <w:pPr>
              <w:spacing w:before="100" w:beforeAutospacing="1" w:after="100" w:afterAutospacing="1"/>
              <w:jc w:val="both"/>
              <w:outlineLvl w:val="2"/>
              <w:rPr>
                <w:color w:val="222222"/>
                <w:shd w:val="clear" w:color="auto" w:fill="FFFFFF"/>
              </w:rPr>
            </w:pPr>
            <w:r>
              <w:rPr>
                <w:bCs/>
              </w:rPr>
              <w:t xml:space="preserve">The </w:t>
            </w:r>
            <w:r w:rsidR="00CC095A" w:rsidRPr="00863FD7">
              <w:rPr>
                <w:bCs/>
              </w:rPr>
              <w:t>consultant must have</w:t>
            </w:r>
            <w:r w:rsidR="00CC095A" w:rsidRPr="00863FD7">
              <w:rPr>
                <w:color w:val="222222"/>
                <w:shd w:val="clear" w:color="auto" w:fill="FFFFFF"/>
              </w:rPr>
              <w:t xml:space="preserve"> a Master’s degree in finance, economics, social sciences, or a related field</w:t>
            </w:r>
            <w:r w:rsidR="00C23583" w:rsidRPr="00863FD7">
              <w:rPr>
                <w:color w:val="222222"/>
                <w:shd w:val="clear" w:color="auto" w:fill="FFFFFF"/>
              </w:rPr>
              <w:t>.</w:t>
            </w:r>
          </w:p>
          <w:p w14:paraId="1EAAE536" w14:textId="1D27F940" w:rsidR="00CC095A" w:rsidRPr="00863FD7" w:rsidRDefault="00CC095A" w:rsidP="00B02983">
            <w:pPr>
              <w:spacing w:before="100" w:beforeAutospacing="1" w:after="100" w:afterAutospacing="1"/>
              <w:ind w:left="720" w:hanging="720"/>
              <w:jc w:val="both"/>
              <w:outlineLvl w:val="2"/>
              <w:rPr>
                <w:b/>
                <w:bCs/>
              </w:rPr>
            </w:pPr>
            <w:r w:rsidRPr="00863FD7">
              <w:rPr>
                <w:b/>
                <w:color w:val="222222"/>
                <w:shd w:val="clear" w:color="auto" w:fill="FFFFFF"/>
              </w:rPr>
              <w:t>Relevant Skills</w:t>
            </w:r>
          </w:p>
          <w:p w14:paraId="51EF5789" w14:textId="608334DE" w:rsidR="00EC5D66" w:rsidRPr="00863FD7" w:rsidRDefault="00C23583" w:rsidP="00786E4E">
            <w:pPr>
              <w:numPr>
                <w:ilvl w:val="0"/>
                <w:numId w:val="22"/>
              </w:numPr>
              <w:spacing w:line="278" w:lineRule="auto"/>
            </w:pPr>
            <w:r w:rsidRPr="00863FD7">
              <w:t xml:space="preserve">The consultant must have at least seven </w:t>
            </w:r>
            <w:r w:rsidR="00A24DA0">
              <w:t>(3</w:t>
            </w:r>
            <w:r w:rsidRPr="00863FD7">
              <w:t>-</w:t>
            </w:r>
            <w:r w:rsidR="00A24DA0">
              <w:t>5</w:t>
            </w:r>
            <w:r w:rsidRPr="00863FD7">
              <w:t xml:space="preserve">) years of proven professional </w:t>
            </w:r>
            <w:r w:rsidR="00EC5D66" w:rsidRPr="00863FD7">
              <w:t>expertise in</w:t>
            </w:r>
            <w:r w:rsidR="00E72F2D" w:rsidRPr="00863FD7">
              <w:t xml:space="preserve"> </w:t>
            </w:r>
            <w:r w:rsidR="00EC5D66" w:rsidRPr="00863FD7">
              <w:t>inclusive</w:t>
            </w:r>
            <w:r w:rsidR="00E72F2D" w:rsidRPr="00863FD7">
              <w:t xml:space="preserve"> market</w:t>
            </w:r>
            <w:r w:rsidR="00EC5D66" w:rsidRPr="00863FD7">
              <w:t xml:space="preserve"> </w:t>
            </w:r>
            <w:r w:rsidR="00E72F2D" w:rsidRPr="00863FD7">
              <w:t>survey</w:t>
            </w:r>
            <w:r w:rsidR="00EC5D66" w:rsidRPr="00863FD7">
              <w:t>, climate risk management, and sustainable finance.</w:t>
            </w:r>
          </w:p>
          <w:p w14:paraId="65FE152F" w14:textId="77777777" w:rsidR="00EC5D66" w:rsidRPr="00863FD7" w:rsidRDefault="00EC5D66" w:rsidP="00786E4E">
            <w:pPr>
              <w:numPr>
                <w:ilvl w:val="0"/>
                <w:numId w:val="22"/>
              </w:numPr>
              <w:spacing w:line="278" w:lineRule="auto"/>
            </w:pPr>
            <w:r w:rsidRPr="00863FD7">
              <w:t>Extensive experience in designing and delivering capacity-building programs in developing frameworks aligned with international standards.</w:t>
            </w:r>
          </w:p>
          <w:p w14:paraId="5F7F93EC" w14:textId="7BBBB788" w:rsidR="00EC5D66" w:rsidRPr="00863FD7" w:rsidRDefault="00EC5D66" w:rsidP="00786E4E">
            <w:pPr>
              <w:numPr>
                <w:ilvl w:val="0"/>
                <w:numId w:val="22"/>
              </w:numPr>
              <w:spacing w:line="278" w:lineRule="auto"/>
            </w:pPr>
            <w:r w:rsidRPr="00863FD7">
              <w:t xml:space="preserve">Familiarity with </w:t>
            </w:r>
            <w:r w:rsidR="00786E4E" w:rsidRPr="00863FD7">
              <w:t xml:space="preserve">the </w:t>
            </w:r>
            <w:r w:rsidRPr="00863FD7">
              <w:t>financial sector context in Liberia or West Africa.</w:t>
            </w:r>
          </w:p>
          <w:p w14:paraId="3C5ABB7F" w14:textId="77777777" w:rsidR="00EC5D66" w:rsidRPr="00863FD7" w:rsidRDefault="00EC5D66" w:rsidP="00786E4E">
            <w:pPr>
              <w:numPr>
                <w:ilvl w:val="0"/>
                <w:numId w:val="22"/>
              </w:numPr>
              <w:spacing w:line="278" w:lineRule="auto"/>
            </w:pPr>
            <w:r w:rsidRPr="00863FD7">
              <w:t>Excellent facilitation, communication, and report writing skills.</w:t>
            </w:r>
          </w:p>
          <w:p w14:paraId="7FD7CD27" w14:textId="793561B3" w:rsidR="00EC5D66" w:rsidRPr="00863FD7" w:rsidRDefault="00EC5D66" w:rsidP="00786E4E">
            <w:pPr>
              <w:numPr>
                <w:ilvl w:val="0"/>
                <w:numId w:val="22"/>
              </w:numPr>
              <w:spacing w:line="278" w:lineRule="auto"/>
            </w:pPr>
            <w:r w:rsidRPr="00863FD7">
              <w:t>Prior experience working with</w:t>
            </w:r>
            <w:r w:rsidR="00E72F2D" w:rsidRPr="00863FD7">
              <w:t xml:space="preserve"> local market representatives, </w:t>
            </w:r>
            <w:r w:rsidRPr="00863FD7">
              <w:t>financial institutions, regulators, or related stakeholders.</w:t>
            </w:r>
          </w:p>
          <w:p w14:paraId="6A0A1F7A" w14:textId="77777777" w:rsidR="00EC5D66" w:rsidRPr="00863FD7" w:rsidRDefault="00EC5D66" w:rsidP="00EC5D66">
            <w:pPr>
              <w:spacing w:after="160" w:line="278" w:lineRule="auto"/>
              <w:rPr>
                <w:b/>
                <w:bCs/>
              </w:rPr>
            </w:pPr>
            <w:r w:rsidRPr="00863FD7">
              <w:rPr>
                <w:b/>
                <w:bCs/>
              </w:rPr>
              <w:t>7. </w:t>
            </w:r>
            <w:r w:rsidRPr="00863FD7">
              <w:rPr>
                <w:rFonts w:eastAsiaTheme="majorEastAsia"/>
                <w:b/>
                <w:bCs/>
              </w:rPr>
              <w:t>Reporting and Coordination</w:t>
            </w:r>
          </w:p>
          <w:p w14:paraId="6C3F2A9E" w14:textId="187469A6" w:rsidR="00C23583" w:rsidRPr="00863FD7" w:rsidRDefault="00EC5D66" w:rsidP="00C23583">
            <w:pPr>
              <w:rPr>
                <w:color w:val="222222"/>
                <w:shd w:val="clear" w:color="auto" w:fill="FFFFFF"/>
              </w:rPr>
            </w:pPr>
            <w:r w:rsidRPr="00863FD7">
              <w:t xml:space="preserve">The expert will report to the Project </w:t>
            </w:r>
            <w:r w:rsidR="00FC58D7" w:rsidRPr="00863FD7">
              <w:t>Manager</w:t>
            </w:r>
            <w:r w:rsidRPr="00863FD7">
              <w:t xml:space="preserve"> of the</w:t>
            </w:r>
            <w:r w:rsidR="00C23583" w:rsidRPr="00863FD7">
              <w:t xml:space="preserve"> Enhancing the Resilience of Vulnerable Coastal Communities in</w:t>
            </w:r>
            <w:r w:rsidRPr="00863FD7">
              <w:t xml:space="preserve"> </w:t>
            </w:r>
            <w:r w:rsidR="007A5487" w:rsidRPr="00863FD7">
              <w:t>Sinoe.</w:t>
            </w:r>
            <w:r w:rsidRPr="00863FD7">
              <w:br/>
              <w:t>Regular updates shall be provided via email/virtual meetings</w:t>
            </w:r>
            <w:r w:rsidR="00FC58D7" w:rsidRPr="00863FD7">
              <w:t>/in person</w:t>
            </w:r>
            <w:r w:rsidRPr="00863FD7">
              <w:t>.</w:t>
            </w:r>
            <w:r w:rsidR="00C23583" w:rsidRPr="00863FD7">
              <w:t xml:space="preserve"> </w:t>
            </w:r>
          </w:p>
          <w:p w14:paraId="3BB1CDE7" w14:textId="3E93B088" w:rsidR="00442A3B" w:rsidRPr="00863FD7" w:rsidRDefault="00C23583" w:rsidP="00863FD7">
            <w:r w:rsidRPr="00863FD7">
              <w:t>The EPA reserves the right to terminate the contract should the consultant’s performance fall below agreed standards or fail to meet the project’s requirements.</w:t>
            </w:r>
            <w:r w:rsidR="0045051A" w:rsidRPr="00863FD7">
              <w:t xml:space="preserve"> All raw data collected, including questionnaires, maps, stakeholders engagement </w:t>
            </w:r>
            <w:proofErr w:type="gramStart"/>
            <w:r w:rsidR="0045051A" w:rsidRPr="00863FD7">
              <w:t xml:space="preserve">matrix  </w:t>
            </w:r>
            <w:proofErr w:type="spellStart"/>
            <w:r w:rsidR="0045051A" w:rsidRPr="00863FD7">
              <w:t>etc</w:t>
            </w:r>
            <w:proofErr w:type="spellEnd"/>
            <w:proofErr w:type="gramEnd"/>
            <w:r w:rsidR="0045051A" w:rsidRPr="00863FD7">
              <w:t xml:space="preserve"> are properties of the project, EPA, and the Government of Liberia</w:t>
            </w:r>
          </w:p>
        </w:tc>
      </w:tr>
    </w:tbl>
    <w:p w14:paraId="1860E681" w14:textId="327C16F7" w:rsidR="00442A3B" w:rsidRPr="00863FD7" w:rsidRDefault="00442A3B" w:rsidP="00EC5D66">
      <w:pPr>
        <w:pStyle w:val="Heading1"/>
        <w:rPr>
          <w:rFonts w:ascii="Times New Roman" w:eastAsia="Calibri" w:hAnsi="Times New Roman" w:cs="Times New Roman"/>
          <w:b/>
          <w:bCs/>
          <w:color w:val="auto"/>
          <w:sz w:val="24"/>
          <w:szCs w:val="24"/>
        </w:rPr>
      </w:pPr>
    </w:p>
    <w:p w14:paraId="50CD246E" w14:textId="77777777" w:rsidR="00442A3B" w:rsidRPr="00863FD7" w:rsidRDefault="00442A3B" w:rsidP="00442A3B">
      <w:pPr>
        <w:pStyle w:val="ListParagraph"/>
        <w:numPr>
          <w:ilvl w:val="0"/>
          <w:numId w:val="1"/>
        </w:numPr>
        <w:rPr>
          <w:b/>
          <w:bCs/>
        </w:rPr>
      </w:pPr>
      <w:r w:rsidRPr="00863FD7">
        <w:rPr>
          <w:b/>
          <w:bCs/>
        </w:rPr>
        <w:t>DELIVERABLES AND PAYMENT SCHEDULE</w:t>
      </w:r>
    </w:p>
    <w:tbl>
      <w:tblPr>
        <w:tblStyle w:val="TableGrid"/>
        <w:tblW w:w="10260" w:type="dxa"/>
        <w:tblInd w:w="-365" w:type="dxa"/>
        <w:tblLook w:val="04A0" w:firstRow="1" w:lastRow="0" w:firstColumn="1" w:lastColumn="0" w:noHBand="0" w:noVBand="1"/>
      </w:tblPr>
      <w:tblGrid>
        <w:gridCol w:w="570"/>
        <w:gridCol w:w="7804"/>
        <w:gridCol w:w="1886"/>
      </w:tblGrid>
      <w:tr w:rsidR="00442A3B" w:rsidRPr="00863FD7" w14:paraId="1E80E52D" w14:textId="77777777" w:rsidTr="00EE5D82">
        <w:tc>
          <w:tcPr>
            <w:tcW w:w="570" w:type="dxa"/>
            <w:shd w:val="clear" w:color="auto" w:fill="BFBFBF" w:themeFill="background1" w:themeFillShade="BF"/>
          </w:tcPr>
          <w:p w14:paraId="68FB5E2F" w14:textId="77777777" w:rsidR="00442A3B" w:rsidRPr="00863FD7" w:rsidRDefault="00442A3B" w:rsidP="00EE5D82">
            <w:pPr>
              <w:spacing w:line="276" w:lineRule="auto"/>
              <w:jc w:val="both"/>
              <w:rPr>
                <w:rStyle w:val="Strong"/>
                <w:rFonts w:eastAsiaTheme="majorEastAsia"/>
              </w:rPr>
            </w:pPr>
            <w:r w:rsidRPr="00863FD7">
              <w:rPr>
                <w:rStyle w:val="Strong"/>
                <w:rFonts w:eastAsiaTheme="majorEastAsia"/>
              </w:rPr>
              <w:t>No.</w:t>
            </w:r>
          </w:p>
        </w:tc>
        <w:tc>
          <w:tcPr>
            <w:tcW w:w="7804" w:type="dxa"/>
            <w:shd w:val="clear" w:color="auto" w:fill="BFBFBF" w:themeFill="background1" w:themeFillShade="BF"/>
          </w:tcPr>
          <w:p w14:paraId="0E592332" w14:textId="77777777" w:rsidR="00442A3B" w:rsidRPr="00863FD7" w:rsidRDefault="00442A3B" w:rsidP="00EE5D82">
            <w:pPr>
              <w:spacing w:line="276" w:lineRule="auto"/>
              <w:jc w:val="both"/>
              <w:rPr>
                <w:rStyle w:val="Strong"/>
                <w:rFonts w:eastAsiaTheme="majorEastAsia"/>
              </w:rPr>
            </w:pPr>
            <w:r w:rsidRPr="00863FD7">
              <w:rPr>
                <w:rStyle w:val="Strong"/>
                <w:rFonts w:eastAsiaTheme="majorEastAsia"/>
              </w:rPr>
              <w:t>Output</w:t>
            </w:r>
          </w:p>
        </w:tc>
        <w:tc>
          <w:tcPr>
            <w:tcW w:w="1886" w:type="dxa"/>
            <w:shd w:val="clear" w:color="auto" w:fill="BFBFBF" w:themeFill="background1" w:themeFillShade="BF"/>
          </w:tcPr>
          <w:p w14:paraId="0CA7DAC8" w14:textId="77777777" w:rsidR="00442A3B" w:rsidRPr="00863FD7" w:rsidRDefault="00442A3B" w:rsidP="00EE5D82">
            <w:pPr>
              <w:spacing w:line="276" w:lineRule="auto"/>
              <w:jc w:val="both"/>
              <w:rPr>
                <w:rStyle w:val="Strong"/>
                <w:rFonts w:eastAsiaTheme="majorEastAsia"/>
              </w:rPr>
            </w:pPr>
            <w:r w:rsidRPr="00863FD7">
              <w:rPr>
                <w:rStyle w:val="Strong"/>
                <w:rFonts w:eastAsiaTheme="majorEastAsia"/>
              </w:rPr>
              <w:t>Payment Plan</w:t>
            </w:r>
          </w:p>
        </w:tc>
      </w:tr>
      <w:tr w:rsidR="00B4643C" w:rsidRPr="00863FD7" w14:paraId="55386B24" w14:textId="77777777" w:rsidTr="00E01BAB">
        <w:trPr>
          <w:trHeight w:val="1583"/>
        </w:trPr>
        <w:tc>
          <w:tcPr>
            <w:tcW w:w="570" w:type="dxa"/>
          </w:tcPr>
          <w:p w14:paraId="51E4C3DE" w14:textId="46F4823C" w:rsidR="00B4643C" w:rsidRPr="00863FD7" w:rsidRDefault="00B4643C" w:rsidP="00EE5D82">
            <w:pPr>
              <w:spacing w:line="276" w:lineRule="auto"/>
              <w:jc w:val="both"/>
              <w:rPr>
                <w:rStyle w:val="Strong"/>
                <w:rFonts w:eastAsiaTheme="majorEastAsia"/>
                <w:b w:val="0"/>
                <w:bCs w:val="0"/>
              </w:rPr>
            </w:pPr>
            <w:r w:rsidRPr="00863FD7">
              <w:rPr>
                <w:rStyle w:val="Strong"/>
                <w:rFonts w:eastAsiaTheme="majorEastAsia"/>
              </w:rPr>
              <w:t>1.</w:t>
            </w:r>
          </w:p>
        </w:tc>
        <w:tc>
          <w:tcPr>
            <w:tcW w:w="7804" w:type="dxa"/>
          </w:tcPr>
          <w:p w14:paraId="27EABCB2" w14:textId="72FFE5F0" w:rsidR="00B4643C" w:rsidRPr="00863FD7" w:rsidRDefault="00B4643C" w:rsidP="00E01BAB">
            <w:pPr>
              <w:spacing w:line="276" w:lineRule="auto"/>
              <w:rPr>
                <w:rStyle w:val="Strong"/>
                <w:rFonts w:eastAsiaTheme="majorEastAsia"/>
                <w:b w:val="0"/>
                <w:bCs w:val="0"/>
              </w:rPr>
            </w:pPr>
            <w:r w:rsidRPr="00863FD7">
              <w:t>Inception Report (detailing methodology, workplan, and stakeholder engagement approach</w:t>
            </w:r>
            <w:r w:rsidR="00E01BAB" w:rsidRPr="00863FD7">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643C" w:rsidRPr="00863FD7" w14:paraId="3B7CD2F0" w14:textId="77777777" w:rsidTr="00EE5D82">
              <w:trPr>
                <w:tblCellSpacing w:w="15" w:type="dxa"/>
              </w:trPr>
              <w:tc>
                <w:tcPr>
                  <w:tcW w:w="0" w:type="auto"/>
                  <w:vAlign w:val="center"/>
                  <w:hideMark/>
                </w:tcPr>
                <w:p w14:paraId="7355BE92" w14:textId="77777777" w:rsidR="00B4643C" w:rsidRPr="00863FD7" w:rsidRDefault="00B4643C" w:rsidP="00EE5D82"/>
              </w:tc>
            </w:tr>
          </w:tbl>
          <w:p w14:paraId="3EB50A3E" w14:textId="77777777" w:rsidR="00B4643C" w:rsidRPr="00863FD7" w:rsidRDefault="00B4643C" w:rsidP="00EE5D82">
            <w:pPr>
              <w:rPr>
                <w:vanish/>
              </w:rPr>
            </w:pPr>
          </w:p>
          <w:p w14:paraId="503AF14A" w14:textId="0C027882" w:rsidR="00B4643C" w:rsidRPr="00863FD7" w:rsidRDefault="001C6AF9" w:rsidP="00E01BAB">
            <w:pPr>
              <w:spacing w:line="276" w:lineRule="auto"/>
              <w:rPr>
                <w:rStyle w:val="Strong"/>
                <w:rFonts w:eastAsiaTheme="majorEastAsia"/>
                <w:b w:val="0"/>
                <w:bCs w:val="0"/>
              </w:rPr>
            </w:pPr>
            <w:r w:rsidRPr="00863FD7">
              <w:t>Upon</w:t>
            </w:r>
            <w:r w:rsidR="00B4643C" w:rsidRPr="00863FD7">
              <w:t xml:space="preserve"> establishment and verification of </w:t>
            </w:r>
            <w:r w:rsidR="00FC58D7" w:rsidRPr="00863FD7">
              <w:t>questionnaire</w:t>
            </w:r>
            <w:r w:rsidR="00B4643C" w:rsidRPr="00863FD7">
              <w:t xml:space="preserve"> tools, data collection</w:t>
            </w:r>
            <w:r w:rsidR="00FC58D7" w:rsidRPr="00863FD7">
              <w:t>, and</w:t>
            </w:r>
            <w:r w:rsidR="00B4643C" w:rsidRPr="00863FD7">
              <w:t xml:space="preserve"> templates</w:t>
            </w:r>
          </w:p>
        </w:tc>
        <w:tc>
          <w:tcPr>
            <w:tcW w:w="1886" w:type="dxa"/>
          </w:tcPr>
          <w:p w14:paraId="00479554" w14:textId="1294F1AB" w:rsidR="00B4643C" w:rsidRPr="00863FD7" w:rsidRDefault="00B4643C" w:rsidP="00EE5D82">
            <w:pPr>
              <w:spacing w:line="276" w:lineRule="auto"/>
              <w:jc w:val="both"/>
              <w:rPr>
                <w:rStyle w:val="Strong"/>
                <w:rFonts w:eastAsiaTheme="majorEastAsia"/>
                <w:b w:val="0"/>
                <w:bCs w:val="0"/>
              </w:rPr>
            </w:pPr>
            <w:r w:rsidRPr="00863FD7">
              <w:rPr>
                <w:rStyle w:val="Strong"/>
                <w:rFonts w:eastAsiaTheme="majorEastAsia"/>
                <w:b w:val="0"/>
                <w:bCs w:val="0"/>
              </w:rPr>
              <w:t>40%</w:t>
            </w:r>
          </w:p>
        </w:tc>
      </w:tr>
      <w:tr w:rsidR="00E01BAB" w:rsidRPr="00863FD7" w14:paraId="3B6A3C9B" w14:textId="77777777" w:rsidTr="00FC58D7">
        <w:trPr>
          <w:trHeight w:val="557"/>
        </w:trPr>
        <w:tc>
          <w:tcPr>
            <w:tcW w:w="570" w:type="dxa"/>
          </w:tcPr>
          <w:p w14:paraId="23B58D38" w14:textId="3528C639" w:rsidR="00E01BAB" w:rsidRPr="00863FD7" w:rsidRDefault="00E01BAB" w:rsidP="00EE5D82">
            <w:pPr>
              <w:spacing w:line="276" w:lineRule="auto"/>
              <w:jc w:val="both"/>
              <w:rPr>
                <w:rStyle w:val="Strong"/>
                <w:rFonts w:eastAsiaTheme="majorEastAsia"/>
                <w:b w:val="0"/>
                <w:bCs w:val="0"/>
              </w:rPr>
            </w:pPr>
            <w:r w:rsidRPr="00863FD7">
              <w:rPr>
                <w:rStyle w:val="Strong"/>
                <w:rFonts w:eastAsiaTheme="majorEastAsia"/>
                <w:b w:val="0"/>
                <w:bCs w:val="0"/>
              </w:rPr>
              <w:t>2.</w:t>
            </w:r>
          </w:p>
        </w:tc>
        <w:tc>
          <w:tcPr>
            <w:tcW w:w="7804" w:type="dxa"/>
          </w:tcPr>
          <w:p w14:paraId="6231BBB2" w14:textId="4367A2D3" w:rsidR="00E01BAB" w:rsidRPr="00863FD7" w:rsidRDefault="00E01BAB" w:rsidP="00EE5D82">
            <w:pPr>
              <w:spacing w:line="276" w:lineRule="auto"/>
              <w:jc w:val="both"/>
              <w:rPr>
                <w:rStyle w:val="Strong"/>
                <w:rFonts w:eastAsiaTheme="majorEastAsia"/>
                <w:b w:val="0"/>
                <w:bCs w:val="0"/>
              </w:rPr>
            </w:pPr>
            <w:r w:rsidRPr="00863FD7">
              <w:t xml:space="preserve">Submission and approval of </w:t>
            </w:r>
            <w:r w:rsidR="00FC58D7" w:rsidRPr="00863FD7">
              <w:t>the final study</w:t>
            </w:r>
            <w:r w:rsidRPr="00863FD7">
              <w:t xml:space="preserve"> Report </w:t>
            </w:r>
          </w:p>
          <w:p w14:paraId="06F75877" w14:textId="153821BF" w:rsidR="00E01BAB" w:rsidRPr="00863FD7" w:rsidRDefault="00E01BAB" w:rsidP="00EE5D82">
            <w:pPr>
              <w:spacing w:line="276" w:lineRule="auto"/>
              <w:jc w:val="both"/>
              <w:rPr>
                <w:rStyle w:val="Strong"/>
                <w:rFonts w:eastAsiaTheme="majorEastAsia"/>
                <w:b w:val="0"/>
                <w:bCs w:val="0"/>
              </w:rPr>
            </w:pPr>
          </w:p>
        </w:tc>
        <w:tc>
          <w:tcPr>
            <w:tcW w:w="1886" w:type="dxa"/>
          </w:tcPr>
          <w:p w14:paraId="5A098CC5" w14:textId="536CB112" w:rsidR="00E01BAB" w:rsidRPr="00863FD7" w:rsidRDefault="00E01BAB" w:rsidP="00EE5D82">
            <w:pPr>
              <w:spacing w:line="276" w:lineRule="auto"/>
              <w:jc w:val="both"/>
              <w:rPr>
                <w:rStyle w:val="Strong"/>
                <w:rFonts w:eastAsiaTheme="majorEastAsia"/>
                <w:b w:val="0"/>
                <w:bCs w:val="0"/>
              </w:rPr>
            </w:pPr>
            <w:r w:rsidRPr="00863FD7">
              <w:rPr>
                <w:rStyle w:val="Strong"/>
                <w:rFonts w:eastAsiaTheme="majorEastAsia"/>
                <w:b w:val="0"/>
                <w:bCs w:val="0"/>
              </w:rPr>
              <w:t>60%</w:t>
            </w:r>
          </w:p>
        </w:tc>
      </w:tr>
    </w:tbl>
    <w:p w14:paraId="1FAFECAF" w14:textId="77777777" w:rsidR="00442A3B" w:rsidRPr="00863FD7" w:rsidRDefault="00442A3B" w:rsidP="00442A3B"/>
    <w:p w14:paraId="478E322F" w14:textId="77777777" w:rsidR="00442A3B" w:rsidRPr="00863FD7" w:rsidRDefault="00442A3B" w:rsidP="00442A3B">
      <w:pPr>
        <w:rPr>
          <w:b/>
          <w:bCs/>
        </w:rPr>
      </w:pPr>
    </w:p>
    <w:p w14:paraId="35281236" w14:textId="77777777" w:rsidR="00442A3B" w:rsidRPr="00863FD7" w:rsidRDefault="00442A3B" w:rsidP="00442A3B">
      <w:pPr>
        <w:pStyle w:val="ListParagraph"/>
        <w:numPr>
          <w:ilvl w:val="0"/>
          <w:numId w:val="1"/>
        </w:numPr>
        <w:rPr>
          <w:b/>
          <w:bCs/>
        </w:rPr>
      </w:pPr>
      <w:r w:rsidRPr="00863FD7">
        <w:rPr>
          <w:b/>
          <w:bCs/>
        </w:rPr>
        <w:t>CONTRACT &amp; REPORTING</w:t>
      </w:r>
    </w:p>
    <w:tbl>
      <w:tblPr>
        <w:tblStyle w:val="TableGrid"/>
        <w:tblW w:w="10260" w:type="dxa"/>
        <w:tblInd w:w="-365" w:type="dxa"/>
        <w:tblLook w:val="04A0" w:firstRow="1" w:lastRow="0" w:firstColumn="1" w:lastColumn="0" w:noHBand="0" w:noVBand="1"/>
      </w:tblPr>
      <w:tblGrid>
        <w:gridCol w:w="10260"/>
      </w:tblGrid>
      <w:tr w:rsidR="00442A3B" w:rsidRPr="00863FD7" w14:paraId="7F981F17" w14:textId="77777777" w:rsidTr="00EE5D82">
        <w:tc>
          <w:tcPr>
            <w:tcW w:w="10260" w:type="dxa"/>
          </w:tcPr>
          <w:p w14:paraId="5D4F72FD" w14:textId="77777777" w:rsidR="00442A3B" w:rsidRPr="00863FD7" w:rsidRDefault="00442A3B" w:rsidP="00EE5D82">
            <w:pPr>
              <w:pStyle w:val="NormalWeb"/>
            </w:pPr>
            <w:r w:rsidRPr="00863FD7">
              <w:lastRenderedPageBreak/>
              <w:t>The consultant shall report directly to the Project Manager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4BFB37CA" w14:textId="77777777" w:rsidR="00442A3B" w:rsidRPr="00863FD7" w:rsidRDefault="00442A3B" w:rsidP="00EE5D82">
            <w:r w:rsidRPr="00863FD7">
              <w:t>The EPA reserves the right to terminate the contract should the consultant’s performance fall below agreed standards or fail to meet the project’s requirements.</w:t>
            </w:r>
          </w:p>
        </w:tc>
      </w:tr>
    </w:tbl>
    <w:p w14:paraId="09EDA5FA" w14:textId="77777777" w:rsidR="00442A3B" w:rsidRPr="00863FD7" w:rsidRDefault="00442A3B" w:rsidP="00442A3B"/>
    <w:p w14:paraId="7D051B98" w14:textId="77777777" w:rsidR="00442A3B" w:rsidRPr="00863FD7" w:rsidRDefault="00442A3B" w:rsidP="00442A3B"/>
    <w:p w14:paraId="480083C4" w14:textId="77777777" w:rsidR="00442A3B" w:rsidRPr="00863FD7" w:rsidRDefault="00442A3B" w:rsidP="00442A3B">
      <w:pPr>
        <w:pStyle w:val="ListParagraph"/>
        <w:numPr>
          <w:ilvl w:val="0"/>
          <w:numId w:val="1"/>
        </w:numPr>
        <w:rPr>
          <w:b/>
          <w:bCs/>
        </w:rPr>
      </w:pPr>
      <w:r w:rsidRPr="00863FD7">
        <w:rPr>
          <w:b/>
          <w:bCs/>
        </w:rPr>
        <w:t>SUBMISSION OF APPLICATION</w:t>
      </w:r>
    </w:p>
    <w:tbl>
      <w:tblPr>
        <w:tblStyle w:val="TableGrid"/>
        <w:tblW w:w="10260" w:type="dxa"/>
        <w:tblInd w:w="-365" w:type="dxa"/>
        <w:tblLook w:val="04A0" w:firstRow="1" w:lastRow="0" w:firstColumn="1" w:lastColumn="0" w:noHBand="0" w:noVBand="1"/>
      </w:tblPr>
      <w:tblGrid>
        <w:gridCol w:w="10260"/>
      </w:tblGrid>
      <w:tr w:rsidR="00442A3B" w:rsidRPr="00863FD7" w14:paraId="22621275" w14:textId="77777777" w:rsidTr="00EE5D82">
        <w:tc>
          <w:tcPr>
            <w:tcW w:w="10260" w:type="dxa"/>
          </w:tcPr>
          <w:p w14:paraId="56CBBF42" w14:textId="6E373751" w:rsidR="00442A3B" w:rsidRPr="00863FD7" w:rsidRDefault="00442A3B" w:rsidP="00EE5D82">
            <w:pPr>
              <w:pStyle w:val="NormalWeb"/>
            </w:pPr>
            <w:r w:rsidRPr="00863FD7">
              <w:t>Interested</w:t>
            </w:r>
            <w:r w:rsidR="008D58EC" w:rsidRPr="00863FD7">
              <w:t xml:space="preserve"> N</w:t>
            </w:r>
            <w:r w:rsidRPr="00863FD7">
              <w:t>ational consultants are invited to submit the following application package</w:t>
            </w:r>
            <w:r w:rsidR="008D58EC" w:rsidRPr="00863FD7">
              <w:t>, both hard and</w:t>
            </w:r>
            <w:r w:rsidRPr="00863FD7">
              <w:t xml:space="preserve"> electroni</w:t>
            </w:r>
            <w:r w:rsidR="008D58EC" w:rsidRPr="00863FD7">
              <w:t>c copies</w:t>
            </w:r>
            <w:r w:rsidRPr="00863FD7">
              <w:t>:</w:t>
            </w:r>
          </w:p>
          <w:p w14:paraId="617524A3" w14:textId="77777777" w:rsidR="00442A3B" w:rsidRPr="00863FD7" w:rsidRDefault="00442A3B" w:rsidP="00442A3B">
            <w:pPr>
              <w:pStyle w:val="NormalWeb"/>
              <w:numPr>
                <w:ilvl w:val="0"/>
                <w:numId w:val="4"/>
              </w:numPr>
            </w:pPr>
            <w:r w:rsidRPr="00863FD7">
              <w:t xml:space="preserve">A detailed </w:t>
            </w:r>
            <w:r w:rsidRPr="00863FD7">
              <w:rPr>
                <w:rStyle w:val="Strong"/>
                <w:rFonts w:eastAsiaTheme="majorEastAsia"/>
              </w:rPr>
              <w:t>t</w:t>
            </w:r>
            <w:r w:rsidRPr="00863FD7">
              <w:rPr>
                <w:rStyle w:val="Strong"/>
                <w:rFonts w:eastAsiaTheme="majorEastAsia"/>
                <w:b w:val="0"/>
                <w:bCs w:val="0"/>
              </w:rPr>
              <w:t>echnical proposal</w:t>
            </w:r>
            <w:r w:rsidRPr="00863FD7">
              <w:t xml:space="preserve"> outlining the consultant’s understanding of the assignment, implementation methodology, and work plan;</w:t>
            </w:r>
          </w:p>
          <w:p w14:paraId="660B5D00" w14:textId="2B5C1747" w:rsidR="00442A3B" w:rsidRPr="00863FD7" w:rsidRDefault="00442A3B" w:rsidP="00442A3B">
            <w:pPr>
              <w:pStyle w:val="NormalWeb"/>
              <w:numPr>
                <w:ilvl w:val="0"/>
                <w:numId w:val="4"/>
              </w:numPr>
            </w:pPr>
            <w:r w:rsidRPr="00863FD7">
              <w:t xml:space="preserve">A </w:t>
            </w:r>
            <w:r w:rsidR="00B4643C" w:rsidRPr="00863FD7">
              <w:rPr>
                <w:rStyle w:val="Strong"/>
                <w:rFonts w:eastAsiaTheme="majorEastAsia"/>
              </w:rPr>
              <w:t>detailed</w:t>
            </w:r>
            <w:r w:rsidRPr="00863FD7">
              <w:rPr>
                <w:rStyle w:val="Strong"/>
                <w:rFonts w:eastAsiaTheme="majorEastAsia"/>
              </w:rPr>
              <w:t xml:space="preserve"> </w:t>
            </w:r>
            <w:r w:rsidRPr="00863FD7">
              <w:rPr>
                <w:rStyle w:val="Strong"/>
                <w:rFonts w:eastAsiaTheme="majorEastAsia"/>
                <w:b w:val="0"/>
                <w:bCs w:val="0"/>
              </w:rPr>
              <w:t>financial proposal</w:t>
            </w:r>
            <w:r w:rsidRPr="00863FD7">
              <w:t xml:space="preserve"> indicating daily rates and total costs for delivering the assignment;</w:t>
            </w:r>
          </w:p>
          <w:p w14:paraId="5CFBB665" w14:textId="77777777" w:rsidR="00442A3B" w:rsidRPr="00863FD7" w:rsidRDefault="00442A3B" w:rsidP="00442A3B">
            <w:pPr>
              <w:pStyle w:val="NormalWeb"/>
              <w:numPr>
                <w:ilvl w:val="0"/>
                <w:numId w:val="4"/>
              </w:numPr>
            </w:pPr>
            <w:r w:rsidRPr="00863FD7">
              <w:t xml:space="preserve">A </w:t>
            </w:r>
            <w:r w:rsidRPr="00863FD7">
              <w:rPr>
                <w:rStyle w:val="Strong"/>
                <w:rFonts w:eastAsiaTheme="majorEastAsia"/>
              </w:rPr>
              <w:t>o</w:t>
            </w:r>
            <w:r w:rsidRPr="00863FD7">
              <w:rPr>
                <w:rStyle w:val="Strong"/>
                <w:rFonts w:eastAsiaTheme="majorEastAsia"/>
                <w:b w:val="0"/>
                <w:bCs w:val="0"/>
              </w:rPr>
              <w:t>ne-page cover letter</w:t>
            </w:r>
            <w:r w:rsidRPr="00863FD7">
              <w:t>;</w:t>
            </w:r>
          </w:p>
          <w:p w14:paraId="3F912206" w14:textId="77777777" w:rsidR="00442A3B" w:rsidRPr="00863FD7" w:rsidRDefault="00442A3B" w:rsidP="00442A3B">
            <w:pPr>
              <w:pStyle w:val="NormalWeb"/>
              <w:numPr>
                <w:ilvl w:val="0"/>
                <w:numId w:val="4"/>
              </w:numPr>
            </w:pPr>
            <w:r w:rsidRPr="00863FD7">
              <w:t xml:space="preserve">An updated </w:t>
            </w:r>
            <w:r w:rsidRPr="00863FD7">
              <w:rPr>
                <w:rStyle w:val="Strong"/>
                <w:rFonts w:eastAsiaTheme="majorEastAsia"/>
                <w:b w:val="0"/>
                <w:bCs w:val="0"/>
              </w:rPr>
              <w:t>Curriculum Vitae (CV</w:t>
            </w:r>
            <w:r w:rsidRPr="00863FD7">
              <w:rPr>
                <w:rStyle w:val="Strong"/>
                <w:rFonts w:eastAsiaTheme="majorEastAsia"/>
              </w:rPr>
              <w:t>)</w:t>
            </w:r>
            <w:r w:rsidRPr="00863FD7">
              <w:t xml:space="preserve"> highlighting relevant qualifications and experience;</w:t>
            </w:r>
          </w:p>
          <w:p w14:paraId="3DD31825" w14:textId="77777777" w:rsidR="00442A3B" w:rsidRPr="00863FD7" w:rsidRDefault="00442A3B" w:rsidP="00442A3B">
            <w:pPr>
              <w:pStyle w:val="NormalWeb"/>
              <w:numPr>
                <w:ilvl w:val="0"/>
                <w:numId w:val="4"/>
              </w:numPr>
            </w:pPr>
            <w:r w:rsidRPr="00863FD7">
              <w:t xml:space="preserve">Copies of </w:t>
            </w:r>
            <w:r w:rsidRPr="00863FD7">
              <w:rPr>
                <w:rStyle w:val="Strong"/>
                <w:rFonts w:eastAsiaTheme="majorEastAsia"/>
                <w:b w:val="0"/>
                <w:bCs w:val="0"/>
              </w:rPr>
              <w:t>academic credentials</w:t>
            </w:r>
            <w:r w:rsidRPr="00863FD7">
              <w:t xml:space="preserve"> and professional certifications;</w:t>
            </w:r>
          </w:p>
          <w:p w14:paraId="665226B8" w14:textId="77777777" w:rsidR="00442A3B" w:rsidRPr="00863FD7" w:rsidRDefault="00442A3B" w:rsidP="00442A3B">
            <w:pPr>
              <w:pStyle w:val="NormalWeb"/>
              <w:numPr>
                <w:ilvl w:val="0"/>
                <w:numId w:val="4"/>
              </w:numPr>
            </w:pPr>
            <w:r w:rsidRPr="00863FD7">
              <w:t xml:space="preserve">Evidence of </w:t>
            </w:r>
            <w:r w:rsidRPr="00863FD7">
              <w:rPr>
                <w:rStyle w:val="Strong"/>
                <w:rFonts w:eastAsiaTheme="majorEastAsia"/>
                <w:b w:val="0"/>
                <w:bCs w:val="0"/>
              </w:rPr>
              <w:t>past performance</w:t>
            </w:r>
            <w:r w:rsidRPr="00863FD7">
              <w:t xml:space="preserve"> in similar assignments (sample reports, references, or contracts).</w:t>
            </w:r>
          </w:p>
          <w:p w14:paraId="46476E54" w14:textId="3C5FC7A4" w:rsidR="00A24DA0" w:rsidRPr="00424335" w:rsidRDefault="00A24DA0" w:rsidP="00A24DA0">
            <w:pPr>
              <w:pStyle w:val="NormalWeb"/>
            </w:pPr>
            <w:r w:rsidRPr="00424335">
              <w:t xml:space="preserve">All submissions must be sent </w:t>
            </w:r>
            <w:r w:rsidRPr="00424335">
              <w:rPr>
                <w:rStyle w:val="Strong"/>
                <w:rFonts w:eastAsiaTheme="majorEastAsia"/>
                <w:color w:val="FF3300"/>
              </w:rPr>
              <w:t>via email</w:t>
            </w:r>
            <w:r w:rsidRPr="00424335">
              <w:rPr>
                <w:rStyle w:val="Strong"/>
                <w:rFonts w:eastAsiaTheme="majorEastAsia"/>
              </w:rPr>
              <w:t xml:space="preserve"> </w:t>
            </w:r>
            <w:r w:rsidRPr="00424335">
              <w:t xml:space="preserve">to </w:t>
            </w:r>
            <w:hyperlink r:id="rId7" w:history="1">
              <w:r w:rsidRPr="00424335">
                <w:rPr>
                  <w:rStyle w:val="Hyperlink"/>
                  <w:rFonts w:eastAsiaTheme="majorEastAsia"/>
                </w:rPr>
                <w:t>maldonakarway1@gmail.com</w:t>
              </w:r>
            </w:hyperlink>
            <w:r w:rsidRPr="00424335">
              <w:t xml:space="preserve">. and cc: </w:t>
            </w:r>
            <w:hyperlink r:id="rId8" w:history="1">
              <w:r w:rsidRPr="00424335">
                <w:rPr>
                  <w:rStyle w:val="Hyperlink"/>
                </w:rPr>
                <w:t>princessblango@gmail.com</w:t>
              </w:r>
            </w:hyperlink>
            <w:r w:rsidRPr="00424335">
              <w:t>, indicating their suitability for the post.</w:t>
            </w:r>
          </w:p>
          <w:p w14:paraId="534BD0A1" w14:textId="00414E89" w:rsidR="00442A3B" w:rsidRPr="00863FD7" w:rsidRDefault="00A24DA0" w:rsidP="00EE5D82">
            <w:pPr>
              <w:pStyle w:val="NormalWeb"/>
              <w:rPr>
                <w:rStyle w:val="Strong"/>
                <w:rFonts w:eastAsiaTheme="majorEastAsia"/>
              </w:rPr>
            </w:pPr>
            <w:r w:rsidRPr="00A24DA0">
              <w:rPr>
                <w:rStyle w:val="Strong"/>
                <w:b w:val="0"/>
                <w:bCs w:val="0"/>
              </w:rPr>
              <w:t>Please indicate</w:t>
            </w:r>
            <w:r w:rsidRPr="00424335">
              <w:rPr>
                <w:rStyle w:val="Strong"/>
              </w:rPr>
              <w:t xml:space="preserve"> </w:t>
            </w:r>
            <w:r w:rsidR="00442A3B" w:rsidRPr="00863FD7">
              <w:rPr>
                <w:rStyle w:val="Strong"/>
                <w:rFonts w:eastAsiaTheme="majorEastAsia"/>
              </w:rPr>
              <w:t>“</w:t>
            </w:r>
            <w:r w:rsidRPr="00863FD7">
              <w:rPr>
                <w:b/>
              </w:rPr>
              <w:t>National Consultant, Inclusive Finance Specialist</w:t>
            </w:r>
            <w:r>
              <w:rPr>
                <w:b/>
              </w:rPr>
              <w:t xml:space="preserve">” </w:t>
            </w:r>
            <w:r w:rsidRPr="00A24DA0">
              <w:rPr>
                <w:b/>
              </w:rPr>
              <w:t>To</w:t>
            </w:r>
            <w:r w:rsidR="00442A3B" w:rsidRPr="00A24DA0">
              <w:rPr>
                <w:rStyle w:val="Strong"/>
                <w:rFonts w:eastAsiaTheme="majorEastAsia"/>
                <w:b w:val="0"/>
              </w:rPr>
              <w:t xml:space="preserve"> </w:t>
            </w:r>
            <w:r w:rsidRPr="00A24DA0">
              <w:rPr>
                <w:b/>
                <w:lang w:val="en-GB"/>
              </w:rPr>
              <w:t>Undertake market studies of the target communities</w:t>
            </w:r>
            <w:r>
              <w:rPr>
                <w:b/>
                <w:lang w:val="en-GB"/>
              </w:rPr>
              <w:t>,</w:t>
            </w:r>
            <w:r>
              <w:rPr>
                <w:rStyle w:val="Strong"/>
                <w:rFonts w:eastAsiaTheme="majorEastAsia"/>
              </w:rPr>
              <w:t xml:space="preserve"> </w:t>
            </w:r>
            <w:r w:rsidRPr="00A24DA0">
              <w:rPr>
                <w:rStyle w:val="Strong"/>
                <w:rFonts w:eastAsiaTheme="majorEastAsia"/>
                <w:b w:val="0"/>
                <w:bCs w:val="0"/>
              </w:rPr>
              <w:t>in the subject line.</w:t>
            </w:r>
            <w:r>
              <w:rPr>
                <w:rStyle w:val="Strong"/>
                <w:rFonts w:eastAsiaTheme="majorEastAsia"/>
              </w:rPr>
              <w:t xml:space="preserve"> </w:t>
            </w:r>
          </w:p>
          <w:p w14:paraId="1E8F87A2" w14:textId="77777777" w:rsidR="00442A3B" w:rsidRPr="00863FD7" w:rsidRDefault="00442A3B" w:rsidP="00EE5D82">
            <w:pPr>
              <w:spacing w:line="276" w:lineRule="auto"/>
              <w:jc w:val="both"/>
              <w:rPr>
                <w:b/>
                <w:bCs/>
              </w:rPr>
            </w:pPr>
            <w:r w:rsidRPr="00863FD7">
              <w:rPr>
                <w:b/>
                <w:bCs/>
              </w:rPr>
              <w:t>Maldona K. Karway</w:t>
            </w:r>
          </w:p>
          <w:p w14:paraId="03530ED9" w14:textId="77777777" w:rsidR="00442A3B" w:rsidRPr="00863FD7" w:rsidRDefault="00442A3B" w:rsidP="00EE5D82">
            <w:pPr>
              <w:spacing w:line="276" w:lineRule="auto"/>
              <w:jc w:val="both"/>
              <w:rPr>
                <w:b/>
                <w:bCs/>
              </w:rPr>
            </w:pPr>
            <w:r w:rsidRPr="00863FD7">
              <w:rPr>
                <w:b/>
                <w:bCs/>
              </w:rPr>
              <w:t>Procurement Officer</w:t>
            </w:r>
          </w:p>
          <w:p w14:paraId="246D48C4" w14:textId="77777777" w:rsidR="00442A3B" w:rsidRPr="00863FD7" w:rsidRDefault="00442A3B" w:rsidP="00EE5D82">
            <w:pPr>
              <w:spacing w:line="276" w:lineRule="auto"/>
              <w:jc w:val="both"/>
              <w:rPr>
                <w:b/>
                <w:bCs/>
              </w:rPr>
            </w:pPr>
            <w:r w:rsidRPr="00863FD7">
              <w:rPr>
                <w:b/>
                <w:bCs/>
              </w:rPr>
              <w:t>Project Management Unit</w:t>
            </w:r>
          </w:p>
          <w:p w14:paraId="0F8D47F2" w14:textId="77777777" w:rsidR="00442A3B" w:rsidRPr="00863FD7" w:rsidRDefault="00442A3B" w:rsidP="00EE5D82">
            <w:pPr>
              <w:spacing w:line="276" w:lineRule="auto"/>
              <w:jc w:val="both"/>
              <w:rPr>
                <w:b/>
                <w:bCs/>
              </w:rPr>
            </w:pPr>
            <w:r w:rsidRPr="00863FD7">
              <w:rPr>
                <w:b/>
                <w:bCs/>
              </w:rPr>
              <w:t>Enhancing the Resilience of Vulnerable Coastal Communities in the Sinoe County Project</w:t>
            </w:r>
          </w:p>
          <w:p w14:paraId="3A0DD6FF" w14:textId="77777777" w:rsidR="00442A3B" w:rsidRPr="00863FD7" w:rsidRDefault="00442A3B" w:rsidP="00EE5D82">
            <w:pPr>
              <w:spacing w:line="276" w:lineRule="auto"/>
              <w:jc w:val="both"/>
              <w:rPr>
                <w:rFonts w:eastAsia="Calibri"/>
                <w:b/>
                <w:bCs/>
              </w:rPr>
            </w:pPr>
            <w:r w:rsidRPr="00863FD7">
              <w:rPr>
                <w:b/>
                <w:bCs/>
              </w:rPr>
              <w:t>Environmental Protection Agency</w:t>
            </w:r>
          </w:p>
          <w:p w14:paraId="3FFDC470" w14:textId="77777777" w:rsidR="00442A3B" w:rsidRPr="00863FD7" w:rsidRDefault="00442A3B" w:rsidP="00EE5D82">
            <w:pPr>
              <w:spacing w:after="5" w:line="276" w:lineRule="auto"/>
              <w:jc w:val="both"/>
              <w:rPr>
                <w:b/>
                <w:bCs/>
              </w:rPr>
            </w:pPr>
            <w:r w:rsidRPr="00863FD7">
              <w:rPr>
                <w:b/>
                <w:bCs/>
              </w:rPr>
              <w:t>302-A Bright Building,</w:t>
            </w:r>
          </w:p>
          <w:p w14:paraId="0565C153" w14:textId="77777777" w:rsidR="00442A3B" w:rsidRPr="00863FD7" w:rsidRDefault="00442A3B" w:rsidP="00EE5D82">
            <w:pPr>
              <w:spacing w:after="5" w:line="276" w:lineRule="auto"/>
              <w:jc w:val="both"/>
              <w:rPr>
                <w:b/>
                <w:bCs/>
              </w:rPr>
            </w:pPr>
            <w:r w:rsidRPr="00863FD7">
              <w:rPr>
                <w:b/>
                <w:bCs/>
              </w:rPr>
              <w:t xml:space="preserve">Old CID-Road, Mamba Point </w:t>
            </w:r>
          </w:p>
          <w:p w14:paraId="2BB64F51" w14:textId="77777777" w:rsidR="00442A3B" w:rsidRPr="00863FD7" w:rsidRDefault="00442A3B" w:rsidP="00EE5D82">
            <w:pPr>
              <w:spacing w:after="5" w:line="276" w:lineRule="auto"/>
              <w:jc w:val="both"/>
              <w:rPr>
                <w:b/>
                <w:bCs/>
              </w:rPr>
            </w:pPr>
            <w:r w:rsidRPr="00863FD7">
              <w:rPr>
                <w:b/>
                <w:bCs/>
              </w:rPr>
              <w:t xml:space="preserve">1000 Monrovia, 10 Liberia </w:t>
            </w:r>
          </w:p>
          <w:p w14:paraId="0C0D98D1" w14:textId="77777777" w:rsidR="00442A3B" w:rsidRPr="00863FD7" w:rsidRDefault="00442A3B" w:rsidP="00EE5D82">
            <w:pPr>
              <w:pStyle w:val="NormalWeb"/>
            </w:pPr>
          </w:p>
          <w:p w14:paraId="00AC3ADC" w14:textId="59D3CF02" w:rsidR="00442A3B" w:rsidRPr="00863FD7" w:rsidRDefault="00442A3B" w:rsidP="00EE5D82">
            <w:pPr>
              <w:pStyle w:val="NormalWeb"/>
            </w:pPr>
            <w:r w:rsidRPr="00863FD7">
              <w:t xml:space="preserve">The deadline for submission </w:t>
            </w:r>
            <w:r w:rsidRPr="0047497C">
              <w:t xml:space="preserve">is </w:t>
            </w:r>
            <w:r w:rsidR="0047497C" w:rsidRPr="0047497C">
              <w:rPr>
                <w:color w:val="FF0000"/>
              </w:rPr>
              <w:t>4:00 PM</w:t>
            </w:r>
            <w:r w:rsidR="0047497C">
              <w:t xml:space="preserve">, </w:t>
            </w:r>
            <w:r w:rsidR="0047497C" w:rsidRPr="0047497C">
              <w:rPr>
                <w:b/>
                <w:bCs/>
                <w:color w:val="FF0000"/>
              </w:rPr>
              <w:t>November</w:t>
            </w:r>
            <w:r w:rsidR="0047497C" w:rsidRPr="00EA1738">
              <w:rPr>
                <w:b/>
                <w:bCs/>
                <w:color w:val="FF0000"/>
              </w:rPr>
              <w:t xml:space="preserve"> 14, 2025</w:t>
            </w:r>
            <w:r w:rsidR="0047497C" w:rsidRPr="00D730C3">
              <w:t>.</w:t>
            </w:r>
            <w:r w:rsidR="0047497C">
              <w:t xml:space="preserve"> </w:t>
            </w:r>
            <w:r w:rsidRPr="00863FD7">
              <w:t>Late submissions will not be considered.</w:t>
            </w:r>
          </w:p>
          <w:p w14:paraId="6A5AAE7C" w14:textId="77777777" w:rsidR="00442A3B" w:rsidRPr="00863FD7" w:rsidRDefault="00442A3B" w:rsidP="00EE5D82">
            <w:pPr>
              <w:pStyle w:val="NormalWeb"/>
            </w:pPr>
            <w:r w:rsidRPr="00863FD7">
              <w:lastRenderedPageBreak/>
              <w:t xml:space="preserve">Only shortlisted candidates will be contacted. The selection process will follow the procurement procedures of the </w:t>
            </w:r>
            <w:r w:rsidRPr="00863FD7">
              <w:rPr>
                <w:rStyle w:val="Strong"/>
                <w:rFonts w:eastAsiaTheme="majorEastAsia"/>
              </w:rPr>
              <w:t>Environmental Protection Agency (EPA) and UNDP</w:t>
            </w:r>
            <w:r w:rsidRPr="00863FD7">
              <w:t>, ensuring transparency, competitiveness, and value for money.</w:t>
            </w:r>
          </w:p>
          <w:p w14:paraId="33E4BD77" w14:textId="7F80CD78" w:rsidR="00442A3B" w:rsidRPr="00863FD7" w:rsidRDefault="0047497C" w:rsidP="00EE5D82">
            <w:pPr>
              <w:pStyle w:val="NormalWeb"/>
              <w:rPr>
                <w:color w:val="EE0000"/>
              </w:rPr>
            </w:pPr>
            <w:r>
              <w:rPr>
                <w:rStyle w:val="Strong"/>
                <w:rFonts w:eastAsiaTheme="majorEastAsia"/>
                <w:color w:val="EE0000"/>
              </w:rPr>
              <w:t>Female</w:t>
            </w:r>
            <w:r w:rsidR="00442A3B" w:rsidRPr="00863FD7">
              <w:rPr>
                <w:rStyle w:val="Strong"/>
                <w:rFonts w:eastAsiaTheme="majorEastAsia"/>
                <w:color w:val="EE0000"/>
              </w:rPr>
              <w:t xml:space="preserve"> candidates</w:t>
            </w:r>
            <w:r w:rsidR="00E91D83" w:rsidRPr="00863FD7">
              <w:rPr>
                <w:rStyle w:val="Strong"/>
                <w:rFonts w:eastAsiaTheme="majorEastAsia"/>
                <w:color w:val="EE0000"/>
              </w:rPr>
              <w:t xml:space="preserve"> who meet the </w:t>
            </w:r>
            <w:r>
              <w:rPr>
                <w:rStyle w:val="Strong"/>
                <w:rFonts w:eastAsiaTheme="majorEastAsia"/>
                <w:color w:val="EE0000"/>
              </w:rPr>
              <w:t>requirements</w:t>
            </w:r>
            <w:r w:rsidR="00442A3B" w:rsidRPr="00863FD7">
              <w:rPr>
                <w:rStyle w:val="Strong"/>
                <w:rFonts w:eastAsiaTheme="majorEastAsia"/>
                <w:color w:val="EE0000"/>
              </w:rPr>
              <w:t xml:space="preserve"> are strongly encouraged to apply.</w:t>
            </w:r>
          </w:p>
          <w:p w14:paraId="69454B2E" w14:textId="77777777" w:rsidR="00442A3B" w:rsidRPr="00863FD7" w:rsidRDefault="00442A3B" w:rsidP="00EE5D82">
            <w:r w:rsidRPr="00863FD7">
              <w:rPr>
                <w:rFonts w:eastAsia="Calibri"/>
                <w:b/>
              </w:rPr>
              <w:t>NOTE:</w:t>
            </w:r>
            <w:r w:rsidRPr="00863FD7">
              <w:rPr>
                <w:rFonts w:eastAsia="Calibri"/>
              </w:rPr>
              <w:t xml:space="preserve"> This information is posted on </w:t>
            </w:r>
            <w:hyperlink r:id="rId9" w:history="1">
              <w:r w:rsidRPr="00863FD7">
                <w:rPr>
                  <w:rStyle w:val="Hyperlink"/>
                  <w:rFonts w:eastAsia="Calibri"/>
                </w:rPr>
                <w:t>https://www.emansion.gov.lr</w:t>
              </w:r>
            </w:hyperlink>
            <w:r w:rsidRPr="00863FD7">
              <w:rPr>
                <w:rFonts w:eastAsia="Calibri"/>
              </w:rPr>
              <w:t xml:space="preserve">,  </w:t>
            </w:r>
            <w:hyperlink r:id="rId10" w:history="1">
              <w:r w:rsidRPr="00863FD7">
                <w:rPr>
                  <w:rStyle w:val="Hyperlink"/>
                  <w:rFonts w:eastAsia="Calibri"/>
                </w:rPr>
                <w:t>https://www.epa.gov.lr</w:t>
              </w:r>
            </w:hyperlink>
            <w:r w:rsidRPr="00863FD7">
              <w:rPr>
                <w:rFonts w:eastAsia="Calibri"/>
              </w:rPr>
              <w:t xml:space="preserve">,  </w:t>
            </w:r>
            <w:hyperlink r:id="rId11" w:history="1">
              <w:r w:rsidRPr="00863FD7">
                <w:rPr>
                  <w:rStyle w:val="Hyperlink"/>
                  <w:rFonts w:eastAsia="Calibri"/>
                </w:rPr>
                <w:t>https://www.undp.org</w:t>
              </w:r>
            </w:hyperlink>
            <w:r w:rsidRPr="00863FD7">
              <w:rPr>
                <w:rFonts w:eastAsia="Calibri"/>
              </w:rPr>
              <w:t xml:space="preserve">,  and can be found in the News Newspaper. </w:t>
            </w:r>
          </w:p>
        </w:tc>
      </w:tr>
      <w:bookmarkEnd w:id="0"/>
    </w:tbl>
    <w:p w14:paraId="276AD7D0" w14:textId="77777777" w:rsidR="00442A3B" w:rsidRPr="00863FD7" w:rsidRDefault="00442A3B" w:rsidP="00442A3B"/>
    <w:p w14:paraId="6A6D1ED4" w14:textId="77777777" w:rsidR="00815DFD" w:rsidRPr="00863FD7" w:rsidRDefault="00815DFD" w:rsidP="00442A3B">
      <w:bookmarkStart w:id="1" w:name="_GoBack"/>
      <w:bookmarkEnd w:id="1"/>
    </w:p>
    <w:sectPr w:rsidR="00815DFD" w:rsidRPr="00863FD7" w:rsidSect="008C2C5B">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86892" w14:textId="77777777" w:rsidR="00C75D19" w:rsidRDefault="00C75D19">
      <w:r>
        <w:separator/>
      </w:r>
    </w:p>
  </w:endnote>
  <w:endnote w:type="continuationSeparator" w:id="0">
    <w:p w14:paraId="6066569B" w14:textId="77777777" w:rsidR="00C75D19" w:rsidRDefault="00C7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A646" w14:textId="77777777" w:rsidR="008C2C5B" w:rsidRDefault="008C2C5B">
    <w:pPr>
      <w:pStyle w:val="Footer"/>
    </w:pPr>
  </w:p>
  <w:p w14:paraId="54A87829" w14:textId="77777777" w:rsidR="008C2C5B" w:rsidRDefault="008C2C5B">
    <w:pPr>
      <w:pStyle w:val="Footer"/>
    </w:pPr>
  </w:p>
  <w:p w14:paraId="5E16A797" w14:textId="77777777" w:rsidR="008C2C5B" w:rsidRDefault="008C2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738D5" w14:textId="77777777" w:rsidR="00C75D19" w:rsidRDefault="00C75D19">
      <w:r>
        <w:separator/>
      </w:r>
    </w:p>
  </w:footnote>
  <w:footnote w:type="continuationSeparator" w:id="0">
    <w:p w14:paraId="743B5982" w14:textId="77777777" w:rsidR="00C75D19" w:rsidRDefault="00C75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2E018" w14:textId="77777777" w:rsidR="008C2C5B" w:rsidRPr="00FF12A2" w:rsidRDefault="008C2C5B" w:rsidP="0090301A">
    <w:pPr>
      <w:jc w:val="center"/>
      <w:rPr>
        <w:b/>
        <w:color w:val="000000"/>
        <w:spacing w:val="-5"/>
        <w:lang w:val="en-ZA"/>
      </w:rPr>
    </w:pPr>
    <w:r>
      <w:rPr>
        <w:noProof/>
        <w14:ligatures w14:val="standardContextual"/>
      </w:rPr>
      <w:drawing>
        <wp:anchor distT="0" distB="0" distL="114300" distR="114300" simplePos="0" relativeHeight="251660288" behindDoc="0" locked="0" layoutInCell="1" allowOverlap="1" wp14:anchorId="45678AE5" wp14:editId="30484C48">
          <wp:simplePos x="0" y="0"/>
          <wp:positionH relativeFrom="column">
            <wp:posOffset>5575300</wp:posOffset>
          </wp:positionH>
          <wp:positionV relativeFrom="paragraph">
            <wp:posOffset>7620</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9264" behindDoc="0" locked="0" layoutInCell="1" allowOverlap="1" wp14:anchorId="60A33EDF" wp14:editId="71AFCD3F">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14:sizeRelH relativeFrom="page">
            <wp14:pctWidth>0</wp14:pctWidth>
          </wp14:sizeRelH>
          <wp14:sizeRelV relativeFrom="page">
            <wp14:pctHeight>0</wp14:pctHeight>
          </wp14:sizeRelV>
        </wp:anchor>
      </w:drawing>
    </w:r>
    <w:r w:rsidRPr="00FF12A2">
      <w:rPr>
        <w:b/>
        <w:color w:val="000000"/>
        <w:spacing w:val="-5"/>
        <w:lang w:val="en-ZA"/>
      </w:rPr>
      <w:t>REPUBLIC OF LIBERIA</w:t>
    </w:r>
  </w:p>
  <w:p w14:paraId="00CBF8ED" w14:textId="77777777" w:rsidR="008C2C5B" w:rsidRPr="00FF12A2" w:rsidRDefault="008C2C5B" w:rsidP="0090301A">
    <w:pPr>
      <w:tabs>
        <w:tab w:val="left" w:pos="1040"/>
        <w:tab w:val="center" w:pos="4513"/>
      </w:tabs>
      <w:rPr>
        <w:rFonts w:ascii="Arial Black" w:hAnsi="Arial Black"/>
        <w:b/>
        <w:bCs/>
        <w:color w:val="000000"/>
        <w:spacing w:val="-5"/>
        <w:lang w:val="en-ZA"/>
      </w:rPr>
    </w:pPr>
    <w:r w:rsidRPr="00FF12A2">
      <w:rPr>
        <w:b/>
        <w:bCs/>
        <w:color w:val="000000"/>
        <w:spacing w:val="-5"/>
        <w:lang w:val="en-ZA"/>
      </w:rPr>
      <w:tab/>
    </w:r>
    <w:r w:rsidRPr="00FF12A2">
      <w:rPr>
        <w:b/>
        <w:bCs/>
        <w:color w:val="000000"/>
        <w:spacing w:val="-5"/>
        <w:lang w:val="en-ZA"/>
      </w:rPr>
      <w:tab/>
      <w:t>ENVIRONMENTAL PROTECTION AGENCY (EPA)</w:t>
    </w:r>
  </w:p>
  <w:p w14:paraId="2C19477C" w14:textId="77777777" w:rsidR="008C2C5B" w:rsidRPr="00FF12A2" w:rsidRDefault="008C2C5B" w:rsidP="0090301A">
    <w:pPr>
      <w:jc w:val="center"/>
      <w:rPr>
        <w:b/>
        <w:bCs/>
        <w:color w:val="000000"/>
        <w:spacing w:val="-5"/>
        <w:lang w:val="en-ZA"/>
      </w:rPr>
    </w:pPr>
    <w:r w:rsidRPr="00FF12A2">
      <w:rPr>
        <w:b/>
        <w:bCs/>
        <w:color w:val="000000"/>
        <w:spacing w:val="-5"/>
        <w:lang w:val="en-ZA"/>
      </w:rPr>
      <w:t>1000 Monrovia, 10 Liberia</w:t>
    </w:r>
  </w:p>
  <w:p w14:paraId="60D81A0A" w14:textId="77777777" w:rsidR="008C2C5B" w:rsidRPr="00FF12A2" w:rsidRDefault="008C2C5B" w:rsidP="0090301A">
    <w:pPr>
      <w:pBdr>
        <w:bottom w:val="single" w:sz="12" w:space="1" w:color="auto"/>
      </w:pBdr>
      <w:jc w:val="center"/>
      <w:rPr>
        <w:b/>
        <w:bCs/>
        <w:color w:val="000000"/>
        <w:spacing w:val="-5"/>
        <w:lang w:val="en-ZA"/>
      </w:rPr>
    </w:pPr>
    <w:r w:rsidRPr="00FF12A2">
      <w:rPr>
        <w:b/>
        <w:bCs/>
        <w:color w:val="000000"/>
        <w:spacing w:val="-5"/>
        <w:lang w:val="en-ZA"/>
      </w:rPr>
      <w:t>P.O. Box 4024</w:t>
    </w:r>
  </w:p>
  <w:p w14:paraId="5D6BED9A" w14:textId="77777777" w:rsidR="008C2C5B" w:rsidRDefault="008C2C5B" w:rsidP="0090301A">
    <w:pPr>
      <w:pStyle w:val="ListParagraph"/>
      <w:ind w:left="1080"/>
      <w:rPr>
        <w:b/>
        <w:bCs/>
      </w:rPr>
    </w:pPr>
  </w:p>
  <w:p w14:paraId="108707C3" w14:textId="77777777" w:rsidR="008C2C5B" w:rsidRDefault="008C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15A0"/>
    <w:multiLevelType w:val="multilevel"/>
    <w:tmpl w:val="7F82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02C50"/>
    <w:multiLevelType w:val="multilevel"/>
    <w:tmpl w:val="7E1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7A03"/>
    <w:multiLevelType w:val="multilevel"/>
    <w:tmpl w:val="2CA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778A5"/>
    <w:multiLevelType w:val="hybridMultilevel"/>
    <w:tmpl w:val="51048A54"/>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901806"/>
    <w:multiLevelType w:val="multilevel"/>
    <w:tmpl w:val="AD9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16917"/>
    <w:multiLevelType w:val="hybridMultilevel"/>
    <w:tmpl w:val="A440C200"/>
    <w:lvl w:ilvl="0" w:tplc="1E68CFF6">
      <w:numFmt w:val="bullet"/>
      <w:lvlText w:val="•"/>
      <w:lvlJc w:val="left"/>
      <w:pPr>
        <w:ind w:left="720" w:hanging="360"/>
      </w:pPr>
      <w:rPr>
        <w:rFonts w:hint="default"/>
        <w:lang w:val="en-US" w:eastAsia="en-US" w:bidi="ar-SA"/>
      </w:rPr>
    </w:lvl>
    <w:lvl w:ilvl="1" w:tplc="1E68CFF6">
      <w:numFmt w:val="bullet"/>
      <w:lvlText w:val="•"/>
      <w:lvlJc w:val="left"/>
      <w:pPr>
        <w:ind w:left="1440" w:hanging="360"/>
      </w:pPr>
      <w:rPr>
        <w:rFonts w:hint="default"/>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4717"/>
    <w:multiLevelType w:val="multilevel"/>
    <w:tmpl w:val="4CC21E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B5938"/>
    <w:multiLevelType w:val="multilevel"/>
    <w:tmpl w:val="106E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6049"/>
    <w:multiLevelType w:val="hybridMultilevel"/>
    <w:tmpl w:val="36A01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D3F0E"/>
    <w:multiLevelType w:val="multilevel"/>
    <w:tmpl w:val="6AD0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A745E"/>
    <w:multiLevelType w:val="multilevel"/>
    <w:tmpl w:val="27C8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A1F01"/>
    <w:multiLevelType w:val="multilevel"/>
    <w:tmpl w:val="28D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C2A79"/>
    <w:multiLevelType w:val="multilevel"/>
    <w:tmpl w:val="5F4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C1EC2"/>
    <w:multiLevelType w:val="multilevel"/>
    <w:tmpl w:val="77FE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C3558"/>
    <w:multiLevelType w:val="multilevel"/>
    <w:tmpl w:val="38A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36DBD"/>
    <w:multiLevelType w:val="multilevel"/>
    <w:tmpl w:val="64C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53B96"/>
    <w:multiLevelType w:val="multilevel"/>
    <w:tmpl w:val="331E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A76DD"/>
    <w:multiLevelType w:val="hybridMultilevel"/>
    <w:tmpl w:val="D4D8ED70"/>
    <w:lvl w:ilvl="0" w:tplc="BB542982">
      <w:start w:val="1"/>
      <w:numFmt w:val="upp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602A0A"/>
    <w:multiLevelType w:val="hybridMultilevel"/>
    <w:tmpl w:val="F6084E04"/>
    <w:lvl w:ilvl="0" w:tplc="9B0A34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D7115B"/>
    <w:multiLevelType w:val="multilevel"/>
    <w:tmpl w:val="2B0CA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F13975"/>
    <w:multiLevelType w:val="multilevel"/>
    <w:tmpl w:val="E886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16A58"/>
    <w:multiLevelType w:val="multilevel"/>
    <w:tmpl w:val="022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2369A"/>
    <w:multiLevelType w:val="multilevel"/>
    <w:tmpl w:val="D30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E0808"/>
    <w:multiLevelType w:val="multilevel"/>
    <w:tmpl w:val="84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61D89"/>
    <w:multiLevelType w:val="multilevel"/>
    <w:tmpl w:val="A87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20057"/>
    <w:multiLevelType w:val="multilevel"/>
    <w:tmpl w:val="4E4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80528"/>
    <w:multiLevelType w:val="multilevel"/>
    <w:tmpl w:val="DA4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429A5"/>
    <w:multiLevelType w:val="multilevel"/>
    <w:tmpl w:val="AA3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C5708"/>
    <w:multiLevelType w:val="hybridMultilevel"/>
    <w:tmpl w:val="B8DEAAFA"/>
    <w:lvl w:ilvl="0" w:tplc="75583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1D3C41"/>
    <w:multiLevelType w:val="multilevel"/>
    <w:tmpl w:val="98323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F1227"/>
    <w:multiLevelType w:val="multilevel"/>
    <w:tmpl w:val="517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4A2444"/>
    <w:multiLevelType w:val="multilevel"/>
    <w:tmpl w:val="0EC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56591"/>
    <w:multiLevelType w:val="hybridMultilevel"/>
    <w:tmpl w:val="05144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E1B7D6E"/>
    <w:multiLevelType w:val="multilevel"/>
    <w:tmpl w:val="969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645FA5"/>
    <w:multiLevelType w:val="hybridMultilevel"/>
    <w:tmpl w:val="0490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45D7B"/>
    <w:multiLevelType w:val="multilevel"/>
    <w:tmpl w:val="051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D6854"/>
    <w:multiLevelType w:val="multilevel"/>
    <w:tmpl w:val="704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97C2C"/>
    <w:multiLevelType w:val="multilevel"/>
    <w:tmpl w:val="F64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E3890"/>
    <w:multiLevelType w:val="hybridMultilevel"/>
    <w:tmpl w:val="5A1C60B4"/>
    <w:lvl w:ilvl="0" w:tplc="764E1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65D96"/>
    <w:multiLevelType w:val="multilevel"/>
    <w:tmpl w:val="29B8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A0F4F"/>
    <w:multiLevelType w:val="multilevel"/>
    <w:tmpl w:val="DC462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C4AD4"/>
    <w:multiLevelType w:val="multilevel"/>
    <w:tmpl w:val="B31A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C5B43"/>
    <w:multiLevelType w:val="hybridMultilevel"/>
    <w:tmpl w:val="9D761FC2"/>
    <w:lvl w:ilvl="0" w:tplc="4ED24872">
      <w:start w:val="1"/>
      <w:numFmt w:val="decimal"/>
      <w:lvlText w:val="%1."/>
      <w:lvlJc w:val="left"/>
      <w:pPr>
        <w:ind w:left="1440" w:hanging="360"/>
      </w:pPr>
      <w:rPr>
        <w:rFonts w:eastAsiaTheme="majorEastAsia"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6"/>
  </w:num>
  <w:num w:numId="3">
    <w:abstractNumId w:val="32"/>
  </w:num>
  <w:num w:numId="4">
    <w:abstractNumId w:val="39"/>
  </w:num>
  <w:num w:numId="5">
    <w:abstractNumId w:val="38"/>
  </w:num>
  <w:num w:numId="6">
    <w:abstractNumId w:val="34"/>
  </w:num>
  <w:num w:numId="7">
    <w:abstractNumId w:val="9"/>
  </w:num>
  <w:num w:numId="8">
    <w:abstractNumId w:val="12"/>
  </w:num>
  <w:num w:numId="9">
    <w:abstractNumId w:val="16"/>
  </w:num>
  <w:num w:numId="10">
    <w:abstractNumId w:val="21"/>
  </w:num>
  <w:num w:numId="11">
    <w:abstractNumId w:val="22"/>
  </w:num>
  <w:num w:numId="12">
    <w:abstractNumId w:val="41"/>
  </w:num>
  <w:num w:numId="13">
    <w:abstractNumId w:val="23"/>
  </w:num>
  <w:num w:numId="14">
    <w:abstractNumId w:val="1"/>
  </w:num>
  <w:num w:numId="15">
    <w:abstractNumId w:val="13"/>
  </w:num>
  <w:num w:numId="16">
    <w:abstractNumId w:val="37"/>
  </w:num>
  <w:num w:numId="17">
    <w:abstractNumId w:val="11"/>
  </w:num>
  <w:num w:numId="18">
    <w:abstractNumId w:val="35"/>
  </w:num>
  <w:num w:numId="19">
    <w:abstractNumId w:val="18"/>
  </w:num>
  <w:num w:numId="20">
    <w:abstractNumId w:val="31"/>
  </w:num>
  <w:num w:numId="21">
    <w:abstractNumId w:val="7"/>
  </w:num>
  <w:num w:numId="22">
    <w:abstractNumId w:val="6"/>
  </w:num>
  <w:num w:numId="23">
    <w:abstractNumId w:val="25"/>
  </w:num>
  <w:num w:numId="24">
    <w:abstractNumId w:val="4"/>
  </w:num>
  <w:num w:numId="25">
    <w:abstractNumId w:val="10"/>
  </w:num>
  <w:num w:numId="26">
    <w:abstractNumId w:val="15"/>
  </w:num>
  <w:num w:numId="27">
    <w:abstractNumId w:val="28"/>
  </w:num>
  <w:num w:numId="28">
    <w:abstractNumId w:val="42"/>
  </w:num>
  <w:num w:numId="29">
    <w:abstractNumId w:val="40"/>
  </w:num>
  <w:num w:numId="30">
    <w:abstractNumId w:val="30"/>
  </w:num>
  <w:num w:numId="31">
    <w:abstractNumId w:val="24"/>
  </w:num>
  <w:num w:numId="32">
    <w:abstractNumId w:val="36"/>
  </w:num>
  <w:num w:numId="33">
    <w:abstractNumId w:val="20"/>
  </w:num>
  <w:num w:numId="34">
    <w:abstractNumId w:val="2"/>
  </w:num>
  <w:num w:numId="35">
    <w:abstractNumId w:val="33"/>
  </w:num>
  <w:num w:numId="36">
    <w:abstractNumId w:val="27"/>
  </w:num>
  <w:num w:numId="37">
    <w:abstractNumId w:val="29"/>
  </w:num>
  <w:num w:numId="38">
    <w:abstractNumId w:val="14"/>
  </w:num>
  <w:num w:numId="39">
    <w:abstractNumId w:val="19"/>
  </w:num>
  <w:num w:numId="40">
    <w:abstractNumId w:val="0"/>
  </w:num>
  <w:num w:numId="41">
    <w:abstractNumId w:val="8"/>
  </w:num>
  <w:num w:numId="42">
    <w:abstractNumId w:val="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DcAUqaWFoYGZko6SsGpxcWZ+XkgBYa1AABKZXAsAAAA"/>
  </w:docVars>
  <w:rsids>
    <w:rsidRoot w:val="008C2C5B"/>
    <w:rsid w:val="00014F59"/>
    <w:rsid w:val="00075502"/>
    <w:rsid w:val="000E0BA5"/>
    <w:rsid w:val="00106C0F"/>
    <w:rsid w:val="001223AC"/>
    <w:rsid w:val="001224BA"/>
    <w:rsid w:val="001256AC"/>
    <w:rsid w:val="001411FB"/>
    <w:rsid w:val="0015374D"/>
    <w:rsid w:val="001A09BE"/>
    <w:rsid w:val="001C6AF9"/>
    <w:rsid w:val="001E6FD2"/>
    <w:rsid w:val="0021353F"/>
    <w:rsid w:val="002175B1"/>
    <w:rsid w:val="002203BE"/>
    <w:rsid w:val="00226C4F"/>
    <w:rsid w:val="00233573"/>
    <w:rsid w:val="002770E3"/>
    <w:rsid w:val="002A564A"/>
    <w:rsid w:val="002E25D2"/>
    <w:rsid w:val="00310338"/>
    <w:rsid w:val="00322818"/>
    <w:rsid w:val="0032598D"/>
    <w:rsid w:val="0036432E"/>
    <w:rsid w:val="00370553"/>
    <w:rsid w:val="003D23E8"/>
    <w:rsid w:val="003D42C3"/>
    <w:rsid w:val="003D5ECE"/>
    <w:rsid w:val="003E6EC3"/>
    <w:rsid w:val="0042701D"/>
    <w:rsid w:val="00442A3B"/>
    <w:rsid w:val="00442ED4"/>
    <w:rsid w:val="0045051A"/>
    <w:rsid w:val="0047497C"/>
    <w:rsid w:val="004A1E74"/>
    <w:rsid w:val="004B64D1"/>
    <w:rsid w:val="004D31E0"/>
    <w:rsid w:val="00531A5B"/>
    <w:rsid w:val="00565CD2"/>
    <w:rsid w:val="005C011F"/>
    <w:rsid w:val="005F5DCD"/>
    <w:rsid w:val="00667577"/>
    <w:rsid w:val="006924AD"/>
    <w:rsid w:val="006C694A"/>
    <w:rsid w:val="006F4890"/>
    <w:rsid w:val="007163F2"/>
    <w:rsid w:val="00723916"/>
    <w:rsid w:val="007327B6"/>
    <w:rsid w:val="00746AFA"/>
    <w:rsid w:val="00771C60"/>
    <w:rsid w:val="00786E4E"/>
    <w:rsid w:val="007A5487"/>
    <w:rsid w:val="008025E5"/>
    <w:rsid w:val="00805E67"/>
    <w:rsid w:val="00815DFD"/>
    <w:rsid w:val="008310E5"/>
    <w:rsid w:val="00833960"/>
    <w:rsid w:val="0083780F"/>
    <w:rsid w:val="00863E65"/>
    <w:rsid w:val="00863FD7"/>
    <w:rsid w:val="0086778C"/>
    <w:rsid w:val="00882E68"/>
    <w:rsid w:val="008C2C5B"/>
    <w:rsid w:val="008C7CEF"/>
    <w:rsid w:val="008D58EC"/>
    <w:rsid w:val="008E1BF6"/>
    <w:rsid w:val="009012A9"/>
    <w:rsid w:val="00903133"/>
    <w:rsid w:val="00907508"/>
    <w:rsid w:val="009654E8"/>
    <w:rsid w:val="00985989"/>
    <w:rsid w:val="009A6C5A"/>
    <w:rsid w:val="009E4CBE"/>
    <w:rsid w:val="00A1488C"/>
    <w:rsid w:val="00A24DA0"/>
    <w:rsid w:val="00A431E9"/>
    <w:rsid w:val="00A746D8"/>
    <w:rsid w:val="00A75571"/>
    <w:rsid w:val="00A91179"/>
    <w:rsid w:val="00A92234"/>
    <w:rsid w:val="00AC6769"/>
    <w:rsid w:val="00AF45C9"/>
    <w:rsid w:val="00AF5E8B"/>
    <w:rsid w:val="00B02983"/>
    <w:rsid w:val="00B036A2"/>
    <w:rsid w:val="00B05BAB"/>
    <w:rsid w:val="00B21F67"/>
    <w:rsid w:val="00B2352C"/>
    <w:rsid w:val="00B4643C"/>
    <w:rsid w:val="00BD50B5"/>
    <w:rsid w:val="00BD5B03"/>
    <w:rsid w:val="00BF6971"/>
    <w:rsid w:val="00C23583"/>
    <w:rsid w:val="00C7251F"/>
    <w:rsid w:val="00C75D19"/>
    <w:rsid w:val="00CC095A"/>
    <w:rsid w:val="00D055DC"/>
    <w:rsid w:val="00D21BDB"/>
    <w:rsid w:val="00D47738"/>
    <w:rsid w:val="00D61F16"/>
    <w:rsid w:val="00D6596B"/>
    <w:rsid w:val="00D72B75"/>
    <w:rsid w:val="00D745ED"/>
    <w:rsid w:val="00E01BAB"/>
    <w:rsid w:val="00E2624B"/>
    <w:rsid w:val="00E72F2D"/>
    <w:rsid w:val="00E91D83"/>
    <w:rsid w:val="00EC10D5"/>
    <w:rsid w:val="00EC5D66"/>
    <w:rsid w:val="00EF3E68"/>
    <w:rsid w:val="00F31861"/>
    <w:rsid w:val="00F450C0"/>
    <w:rsid w:val="00F77536"/>
    <w:rsid w:val="00FA5DD3"/>
    <w:rsid w:val="00FC2604"/>
    <w:rsid w:val="00FC58D7"/>
    <w:rsid w:val="00FD19BC"/>
    <w:rsid w:val="00FF11C2"/>
    <w:rsid w:val="00FF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F75B4"/>
  <w15:docId w15:val="{24FB97A2-FF77-4399-B805-D5A89462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C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2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C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C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C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C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C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C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C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2C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C2C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C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C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C5B"/>
    <w:rPr>
      <w:rFonts w:eastAsiaTheme="majorEastAsia" w:cstheme="majorBidi"/>
      <w:color w:val="272727" w:themeColor="text1" w:themeTint="D8"/>
    </w:rPr>
  </w:style>
  <w:style w:type="paragraph" w:styleId="Title">
    <w:name w:val="Title"/>
    <w:basedOn w:val="Normal"/>
    <w:next w:val="Normal"/>
    <w:link w:val="TitleChar"/>
    <w:uiPriority w:val="10"/>
    <w:qFormat/>
    <w:rsid w:val="008C2C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C5B"/>
    <w:pPr>
      <w:spacing w:before="160"/>
      <w:jc w:val="center"/>
    </w:pPr>
    <w:rPr>
      <w:i/>
      <w:iCs/>
      <w:color w:val="404040" w:themeColor="text1" w:themeTint="BF"/>
    </w:rPr>
  </w:style>
  <w:style w:type="character" w:customStyle="1" w:styleId="QuoteChar">
    <w:name w:val="Quote Char"/>
    <w:basedOn w:val="DefaultParagraphFont"/>
    <w:link w:val="Quote"/>
    <w:uiPriority w:val="29"/>
    <w:rsid w:val="008C2C5B"/>
    <w:rPr>
      <w:i/>
      <w:iCs/>
      <w:color w:val="404040" w:themeColor="text1" w:themeTint="BF"/>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8C2C5B"/>
    <w:pPr>
      <w:ind w:left="720"/>
      <w:contextualSpacing/>
    </w:pPr>
  </w:style>
  <w:style w:type="character" w:styleId="IntenseEmphasis">
    <w:name w:val="Intense Emphasis"/>
    <w:basedOn w:val="DefaultParagraphFont"/>
    <w:uiPriority w:val="21"/>
    <w:qFormat/>
    <w:rsid w:val="008C2C5B"/>
    <w:rPr>
      <w:i/>
      <w:iCs/>
      <w:color w:val="2F5496" w:themeColor="accent1" w:themeShade="BF"/>
    </w:rPr>
  </w:style>
  <w:style w:type="paragraph" w:styleId="IntenseQuote">
    <w:name w:val="Intense Quote"/>
    <w:basedOn w:val="Normal"/>
    <w:next w:val="Normal"/>
    <w:link w:val="IntenseQuoteChar"/>
    <w:uiPriority w:val="30"/>
    <w:qFormat/>
    <w:rsid w:val="008C2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C5B"/>
    <w:rPr>
      <w:i/>
      <w:iCs/>
      <w:color w:val="2F5496" w:themeColor="accent1" w:themeShade="BF"/>
    </w:rPr>
  </w:style>
  <w:style w:type="character" w:styleId="IntenseReference">
    <w:name w:val="Intense Reference"/>
    <w:basedOn w:val="DefaultParagraphFont"/>
    <w:uiPriority w:val="32"/>
    <w:qFormat/>
    <w:rsid w:val="008C2C5B"/>
    <w:rPr>
      <w:b/>
      <w:bCs/>
      <w:smallCaps/>
      <w:color w:val="2F5496" w:themeColor="accent1" w:themeShade="BF"/>
      <w:spacing w:val="5"/>
    </w:rPr>
  </w:style>
  <w:style w:type="table" w:styleId="TableGrid">
    <w:name w:val="Table Grid"/>
    <w:basedOn w:val="TableNormal"/>
    <w:uiPriority w:val="39"/>
    <w:rsid w:val="008C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8C2C5B"/>
  </w:style>
  <w:style w:type="paragraph" w:styleId="NormalWeb">
    <w:name w:val="Normal (Web)"/>
    <w:basedOn w:val="Normal"/>
    <w:uiPriority w:val="99"/>
    <w:unhideWhenUsed/>
    <w:rsid w:val="008C2C5B"/>
    <w:pPr>
      <w:spacing w:before="100" w:beforeAutospacing="1" w:after="100" w:afterAutospacing="1"/>
    </w:pPr>
  </w:style>
  <w:style w:type="character" w:styleId="Strong">
    <w:name w:val="Strong"/>
    <w:basedOn w:val="DefaultParagraphFont"/>
    <w:uiPriority w:val="22"/>
    <w:qFormat/>
    <w:rsid w:val="008C2C5B"/>
    <w:rPr>
      <w:b/>
      <w:bCs/>
    </w:rPr>
  </w:style>
  <w:style w:type="paragraph" w:styleId="Header">
    <w:name w:val="header"/>
    <w:basedOn w:val="Normal"/>
    <w:link w:val="HeaderChar"/>
    <w:uiPriority w:val="99"/>
    <w:unhideWhenUsed/>
    <w:rsid w:val="008C2C5B"/>
    <w:pPr>
      <w:tabs>
        <w:tab w:val="center" w:pos="4680"/>
        <w:tab w:val="right" w:pos="9360"/>
      </w:tabs>
    </w:pPr>
  </w:style>
  <w:style w:type="character" w:customStyle="1" w:styleId="HeaderChar">
    <w:name w:val="Header Char"/>
    <w:basedOn w:val="DefaultParagraphFont"/>
    <w:link w:val="Header"/>
    <w:uiPriority w:val="99"/>
    <w:rsid w:val="008C2C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2C5B"/>
    <w:pPr>
      <w:tabs>
        <w:tab w:val="center" w:pos="4680"/>
        <w:tab w:val="right" w:pos="9360"/>
      </w:tabs>
    </w:pPr>
  </w:style>
  <w:style w:type="character" w:customStyle="1" w:styleId="FooterChar">
    <w:name w:val="Footer Char"/>
    <w:basedOn w:val="DefaultParagraphFont"/>
    <w:link w:val="Footer"/>
    <w:uiPriority w:val="99"/>
    <w:rsid w:val="008C2C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C5B"/>
    <w:rPr>
      <w:color w:val="0563C1" w:themeColor="hyperlink"/>
      <w:u w:val="single"/>
    </w:rPr>
  </w:style>
  <w:style w:type="paragraph" w:styleId="BalloonText">
    <w:name w:val="Balloon Text"/>
    <w:basedOn w:val="Normal"/>
    <w:link w:val="BalloonTextChar"/>
    <w:uiPriority w:val="99"/>
    <w:semiHidden/>
    <w:unhideWhenUsed/>
    <w:rsid w:val="00723916"/>
    <w:rPr>
      <w:rFonts w:ascii="Tahoma" w:hAnsi="Tahoma" w:cs="Tahoma"/>
      <w:sz w:val="16"/>
      <w:szCs w:val="16"/>
    </w:rPr>
  </w:style>
  <w:style w:type="character" w:customStyle="1" w:styleId="BalloonTextChar">
    <w:name w:val="Balloon Text Char"/>
    <w:basedOn w:val="DefaultParagraphFont"/>
    <w:link w:val="BalloonText"/>
    <w:uiPriority w:val="99"/>
    <w:semiHidden/>
    <w:rsid w:val="00723916"/>
    <w:rPr>
      <w:rFonts w:ascii="Tahoma" w:eastAsia="Times New Roman" w:hAnsi="Tahoma" w:cs="Tahoma"/>
      <w:sz w:val="16"/>
      <w:szCs w:val="16"/>
    </w:rPr>
  </w:style>
  <w:style w:type="paragraph" w:styleId="Revision">
    <w:name w:val="Revision"/>
    <w:hidden/>
    <w:uiPriority w:val="99"/>
    <w:semiHidden/>
    <w:rsid w:val="00531A5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02983"/>
    <w:rPr>
      <w:sz w:val="16"/>
      <w:szCs w:val="16"/>
    </w:rPr>
  </w:style>
  <w:style w:type="paragraph" w:styleId="CommentText">
    <w:name w:val="annotation text"/>
    <w:basedOn w:val="Normal"/>
    <w:link w:val="CommentTextChar"/>
    <w:uiPriority w:val="99"/>
    <w:semiHidden/>
    <w:unhideWhenUsed/>
    <w:rsid w:val="00B02983"/>
    <w:rPr>
      <w:sz w:val="20"/>
      <w:szCs w:val="20"/>
    </w:rPr>
  </w:style>
  <w:style w:type="character" w:customStyle="1" w:styleId="CommentTextChar">
    <w:name w:val="Comment Text Char"/>
    <w:basedOn w:val="DefaultParagraphFont"/>
    <w:link w:val="CommentText"/>
    <w:uiPriority w:val="99"/>
    <w:semiHidden/>
    <w:rsid w:val="00B029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983"/>
    <w:rPr>
      <w:b/>
      <w:bCs/>
    </w:rPr>
  </w:style>
  <w:style w:type="character" w:customStyle="1" w:styleId="CommentSubjectChar">
    <w:name w:val="Comment Subject Char"/>
    <w:basedOn w:val="CommentTextChar"/>
    <w:link w:val="CommentSubject"/>
    <w:uiPriority w:val="99"/>
    <w:semiHidden/>
    <w:rsid w:val="00B029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Nimely Chea, Jr.</dc:creator>
  <cp:keywords/>
  <dc:description/>
  <cp:lastModifiedBy>Microsoft Office User</cp:lastModifiedBy>
  <cp:revision>2</cp:revision>
  <dcterms:created xsi:type="dcterms:W3CDTF">2025-10-27T10:36:00Z</dcterms:created>
  <dcterms:modified xsi:type="dcterms:W3CDTF">2025-10-27T10:36:00Z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c9523cc6-800e-467f-af75-b8903c437ec0</vt:lpwstr>
  </property>
</Properties>
</file>